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024" w:rsidRPr="00C37483" w:rsidRDefault="002C4024" w:rsidP="002C4024">
      <w:pPr>
        <w:ind w:leftChars="-200" w:left="-560" w:rightChars="-200" w:right="-560" w:firstLineChars="150" w:firstLine="360"/>
        <w:rPr>
          <w:rFonts w:ascii="仿宋_GB2312" w:eastAsia="仿宋_GB2312"/>
          <w:sz w:val="24"/>
        </w:rPr>
      </w:pPr>
      <w:r w:rsidRPr="00C37483">
        <w:rPr>
          <w:rFonts w:ascii="仿宋_GB2312" w:eastAsia="仿宋_GB2312" w:hint="eastAsia"/>
          <w:sz w:val="24"/>
        </w:rPr>
        <w:t xml:space="preserve">证券代码：000531   </w:t>
      </w:r>
      <w:r>
        <w:rPr>
          <w:rFonts w:ascii="仿宋_GB2312" w:eastAsia="仿宋_GB2312" w:hint="eastAsia"/>
          <w:sz w:val="24"/>
        </w:rPr>
        <w:t xml:space="preserve">    </w:t>
      </w:r>
      <w:r w:rsidRPr="00C37483">
        <w:rPr>
          <w:rFonts w:ascii="仿宋_GB2312" w:eastAsia="仿宋_GB2312" w:hint="eastAsia"/>
          <w:sz w:val="24"/>
        </w:rPr>
        <w:t xml:space="preserve">  证券简称：穗恒运A     </w:t>
      </w:r>
      <w:r>
        <w:rPr>
          <w:rFonts w:ascii="仿宋_GB2312" w:eastAsia="仿宋_GB2312" w:hint="eastAsia"/>
          <w:sz w:val="24"/>
        </w:rPr>
        <w:t xml:space="preserve">    </w:t>
      </w:r>
      <w:r w:rsidRPr="00C37483">
        <w:rPr>
          <w:rFonts w:ascii="仿宋_GB2312" w:eastAsia="仿宋_GB2312" w:hint="eastAsia"/>
          <w:sz w:val="24"/>
        </w:rPr>
        <w:t>公告编号：201</w:t>
      </w:r>
      <w:r>
        <w:rPr>
          <w:rFonts w:ascii="仿宋_GB2312" w:eastAsia="仿宋_GB2312" w:hint="eastAsia"/>
          <w:sz w:val="24"/>
        </w:rPr>
        <w:t>5</w:t>
      </w:r>
      <w:r w:rsidRPr="00C37483">
        <w:rPr>
          <w:rFonts w:ascii="仿宋_GB2312" w:eastAsia="仿宋_GB2312" w:hint="eastAsia"/>
          <w:sz w:val="24"/>
        </w:rPr>
        <w:t>-</w:t>
      </w:r>
      <w:r w:rsidR="001C34A1" w:rsidRPr="00366617">
        <w:rPr>
          <w:rFonts w:ascii="仿宋_GB2312" w:eastAsia="仿宋_GB2312" w:hint="eastAsia"/>
          <w:sz w:val="24"/>
        </w:rPr>
        <w:t>03</w:t>
      </w:r>
      <w:r w:rsidR="001C34A1">
        <w:rPr>
          <w:rFonts w:ascii="仿宋_GB2312" w:eastAsia="仿宋_GB2312" w:hint="eastAsia"/>
          <w:sz w:val="24"/>
        </w:rPr>
        <w:t>8</w:t>
      </w:r>
    </w:p>
    <w:p w:rsidR="002C4024" w:rsidRPr="005C787F" w:rsidRDefault="002C4024" w:rsidP="002C4024">
      <w:pPr>
        <w:ind w:leftChars="-200" w:left="-560" w:rightChars="-200" w:right="-560"/>
        <w:jc w:val="center"/>
        <w:rPr>
          <w:rFonts w:ascii="黑体" w:eastAsia="黑体"/>
          <w:sz w:val="36"/>
          <w:szCs w:val="36"/>
        </w:rPr>
      </w:pPr>
      <w:r w:rsidRPr="005C787F">
        <w:rPr>
          <w:rFonts w:ascii="黑体" w:eastAsia="黑体" w:hint="eastAsia"/>
          <w:sz w:val="36"/>
          <w:szCs w:val="36"/>
        </w:rPr>
        <w:t>广州恒运企业集团股份有限公司</w:t>
      </w:r>
    </w:p>
    <w:p w:rsidR="002C4024" w:rsidRDefault="002C4024" w:rsidP="002C4024">
      <w:pPr>
        <w:ind w:leftChars="-200" w:left="-560" w:rightChars="-200" w:right="-56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参与</w:t>
      </w:r>
      <w:r w:rsidRPr="006026CA">
        <w:rPr>
          <w:rFonts w:ascii="黑体" w:eastAsia="黑体" w:hint="eastAsia"/>
          <w:sz w:val="36"/>
          <w:szCs w:val="36"/>
        </w:rPr>
        <w:t>广州证券</w:t>
      </w:r>
      <w:r w:rsidR="0079704C">
        <w:rPr>
          <w:rFonts w:ascii="黑体" w:eastAsia="黑体" w:hint="eastAsia"/>
          <w:sz w:val="36"/>
          <w:szCs w:val="36"/>
        </w:rPr>
        <w:t>股份有限</w:t>
      </w:r>
      <w:r w:rsidRPr="006026CA">
        <w:rPr>
          <w:rFonts w:ascii="黑体" w:eastAsia="黑体" w:hint="eastAsia"/>
          <w:sz w:val="36"/>
          <w:szCs w:val="36"/>
        </w:rPr>
        <w:t>公司</w:t>
      </w:r>
      <w:r>
        <w:rPr>
          <w:rFonts w:ascii="黑体" w:eastAsia="黑体" w:hint="eastAsia"/>
          <w:sz w:val="36"/>
          <w:szCs w:val="36"/>
        </w:rPr>
        <w:t>增资扩股</w:t>
      </w:r>
      <w:r w:rsidRPr="005C787F">
        <w:rPr>
          <w:rFonts w:ascii="黑体" w:eastAsia="黑体" w:hint="eastAsia"/>
          <w:sz w:val="36"/>
          <w:szCs w:val="36"/>
        </w:rPr>
        <w:t>公告</w:t>
      </w:r>
    </w:p>
    <w:p w:rsidR="002C4024" w:rsidRPr="002C4024" w:rsidRDefault="002C4024" w:rsidP="002C4024">
      <w:pPr>
        <w:autoSpaceDE w:val="0"/>
        <w:autoSpaceDN w:val="0"/>
        <w:adjustRightInd w:val="0"/>
        <w:spacing w:line="360" w:lineRule="auto"/>
        <w:jc w:val="center"/>
        <w:rPr>
          <w:rFonts w:ascii="仿宋_GB2312" w:eastAsia="仿宋_GB2312"/>
          <w:color w:val="000000"/>
          <w:sz w:val="24"/>
        </w:rPr>
      </w:pPr>
    </w:p>
    <w:p w:rsidR="002C4024" w:rsidRPr="004133E8" w:rsidRDefault="0088500B" w:rsidP="002C4024">
      <w:pPr>
        <w:autoSpaceDE w:val="0"/>
        <w:autoSpaceDN w:val="0"/>
        <w:adjustRightInd w:val="0"/>
        <w:spacing w:line="360" w:lineRule="auto"/>
        <w:jc w:val="center"/>
        <w:rPr>
          <w:rFonts w:ascii="仿宋_GB2312" w:eastAsia="仿宋_GB2312"/>
          <w:color w:val="000000"/>
          <w:sz w:val="24"/>
        </w:rPr>
      </w:pPr>
      <w:r w:rsidRPr="0088500B">
        <w:rPr>
          <w:noProof/>
        </w:rPr>
        <w:pict>
          <v:rect id="Rectangle 21" o:spid="_x0000_s2050" style="position:absolute;left:0;text-align:left;margin-left:-18pt;margin-top:13.2pt;width:477pt;height:83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">
            <v:textbox>
              <w:txbxContent>
                <w:p w:rsidR="002C4024" w:rsidRPr="002C4024" w:rsidRDefault="002C4024" w:rsidP="0088500B">
                  <w:pPr>
                    <w:spacing w:beforeLines="50"/>
                    <w:ind w:firstLineChars="200" w:firstLine="560"/>
                    <w:rPr>
                      <w:rFonts w:ascii="仿宋_GB2312" w:eastAsia="仿宋_GB2312"/>
                      <w:szCs w:val="28"/>
                    </w:rPr>
                  </w:pPr>
                  <w:r w:rsidRPr="002C4024">
                    <w:rPr>
                      <w:rFonts w:ascii="仿宋_GB2312" w:eastAsia="仿宋_GB2312" w:hint="eastAsia"/>
                      <w:szCs w:val="28"/>
                    </w:rPr>
                    <w:t>本公司及董事会全体成员保证信息披露的内容真实、准确、完整，没有虚假记载、误导性陈述或重大遗漏。</w:t>
                  </w:r>
                </w:p>
              </w:txbxContent>
            </v:textbox>
          </v:rect>
        </w:pict>
      </w:r>
    </w:p>
    <w:p w:rsidR="002C4024" w:rsidRPr="004133E8" w:rsidRDefault="002C4024" w:rsidP="002C4024">
      <w:pPr>
        <w:autoSpaceDE w:val="0"/>
        <w:autoSpaceDN w:val="0"/>
        <w:adjustRightInd w:val="0"/>
        <w:spacing w:line="360" w:lineRule="auto"/>
        <w:jc w:val="center"/>
        <w:rPr>
          <w:rFonts w:ascii="仿宋_GB2312" w:eastAsia="仿宋_GB2312"/>
          <w:color w:val="000000"/>
          <w:sz w:val="24"/>
        </w:rPr>
      </w:pPr>
    </w:p>
    <w:p w:rsidR="002C4024" w:rsidRPr="004133E8" w:rsidRDefault="002C4024" w:rsidP="002C4024">
      <w:pPr>
        <w:autoSpaceDE w:val="0"/>
        <w:autoSpaceDN w:val="0"/>
        <w:adjustRightInd w:val="0"/>
        <w:spacing w:line="360" w:lineRule="auto"/>
        <w:jc w:val="center"/>
        <w:rPr>
          <w:rFonts w:ascii="仿宋_GB2312" w:eastAsia="仿宋_GB2312"/>
          <w:color w:val="000000"/>
          <w:sz w:val="24"/>
        </w:rPr>
      </w:pPr>
    </w:p>
    <w:p w:rsidR="002C4024" w:rsidRPr="004133E8" w:rsidRDefault="002C4024" w:rsidP="002C4024">
      <w:pPr>
        <w:autoSpaceDE w:val="0"/>
        <w:autoSpaceDN w:val="0"/>
        <w:adjustRightInd w:val="0"/>
        <w:spacing w:line="340" w:lineRule="exact"/>
        <w:ind w:right="357" w:firstLine="539"/>
        <w:jc w:val="center"/>
        <w:rPr>
          <w:rFonts w:ascii="仿宋_GB2312" w:eastAsia="仿宋_GB2312"/>
          <w:sz w:val="24"/>
        </w:rPr>
      </w:pPr>
    </w:p>
    <w:p w:rsidR="002C4024" w:rsidRPr="004133E8" w:rsidRDefault="002C4024" w:rsidP="002C4024">
      <w:pPr>
        <w:spacing w:line="360" w:lineRule="auto"/>
        <w:ind w:firstLineChars="200" w:firstLine="480"/>
        <w:rPr>
          <w:rFonts w:ascii="仿宋_GB2312" w:eastAsia="仿宋_GB2312"/>
          <w:sz w:val="24"/>
        </w:rPr>
      </w:pPr>
    </w:p>
    <w:p w:rsidR="002C4024" w:rsidRPr="002C4024" w:rsidRDefault="002C4024" w:rsidP="002C4024">
      <w:pPr>
        <w:tabs>
          <w:tab w:val="num" w:pos="900"/>
        </w:tabs>
        <w:spacing w:line="360" w:lineRule="auto"/>
        <w:ind w:firstLineChars="200" w:firstLine="562"/>
        <w:rPr>
          <w:rFonts w:ascii="仿宋_GB2312" w:eastAsia="仿宋_GB2312"/>
          <w:b/>
          <w:szCs w:val="28"/>
        </w:rPr>
      </w:pPr>
      <w:r w:rsidRPr="002C4024">
        <w:rPr>
          <w:rFonts w:ascii="仿宋_GB2312" w:eastAsia="仿宋_GB2312" w:hint="eastAsia"/>
          <w:b/>
          <w:szCs w:val="28"/>
        </w:rPr>
        <w:t>一、对外投资概述</w:t>
      </w:r>
    </w:p>
    <w:p w:rsidR="00C77275" w:rsidRPr="002B1831" w:rsidRDefault="00C77275" w:rsidP="0088500B">
      <w:pPr>
        <w:spacing w:beforeLines="50"/>
        <w:ind w:firstLineChars="200" w:firstLine="560"/>
        <w:rPr>
          <w:rFonts w:ascii="仿宋_GB2312" w:eastAsia="仿宋_GB2312"/>
          <w:bCs/>
          <w:szCs w:val="28"/>
        </w:rPr>
      </w:pPr>
      <w:r w:rsidRPr="002B1831">
        <w:rPr>
          <w:rFonts w:ascii="仿宋_GB2312" w:eastAsia="仿宋_GB2312" w:hint="eastAsia"/>
          <w:szCs w:val="28"/>
        </w:rPr>
        <w:t>广州恒运企业集团股份有限公司（以下简称“公司”）</w:t>
      </w:r>
      <w:r w:rsidRPr="002B1831">
        <w:rPr>
          <w:rFonts w:eastAsia="仿宋_GB2312" w:hint="eastAsia"/>
          <w:bCs/>
          <w:szCs w:val="28"/>
        </w:rPr>
        <w:t>按照</w:t>
      </w:r>
      <w:r w:rsidRPr="002B1831">
        <w:rPr>
          <w:rFonts w:ascii="仿宋_GB2312" w:eastAsia="仿宋_GB2312" w:hint="eastAsia"/>
          <w:szCs w:val="28"/>
        </w:rPr>
        <w:t>广州证券</w:t>
      </w:r>
      <w:r w:rsidR="0079704C">
        <w:rPr>
          <w:rFonts w:ascii="仿宋_GB2312" w:eastAsia="仿宋_GB2312" w:hint="eastAsia"/>
          <w:szCs w:val="28"/>
        </w:rPr>
        <w:t>股份有限</w:t>
      </w:r>
      <w:r w:rsidRPr="002B1831">
        <w:rPr>
          <w:rFonts w:ascii="仿宋_GB2312" w:eastAsia="仿宋_GB2312" w:hint="eastAsia"/>
          <w:szCs w:val="28"/>
        </w:rPr>
        <w:t>公司（以下简称“</w:t>
      </w:r>
      <w:r w:rsidRPr="002B1831">
        <w:rPr>
          <w:rFonts w:eastAsia="仿宋_GB2312" w:hint="eastAsia"/>
          <w:bCs/>
          <w:szCs w:val="28"/>
        </w:rPr>
        <w:t>广州证券”）增资扩股方案以广州证券</w:t>
      </w:r>
      <w:r w:rsidRPr="002B1831">
        <w:rPr>
          <w:rFonts w:ascii="仿宋_GB2312" w:eastAsia="仿宋_GB2312" w:hint="eastAsia"/>
          <w:bCs/>
          <w:szCs w:val="28"/>
        </w:rPr>
        <w:t>2015年6月30日经审计的每股净资产扣除拟分红部分的价格即1.97元/股为基础</w:t>
      </w:r>
      <w:r w:rsidR="00135CC9">
        <w:rPr>
          <w:rFonts w:ascii="仿宋_GB2312" w:eastAsia="仿宋_GB2312" w:hint="eastAsia"/>
          <w:bCs/>
          <w:szCs w:val="28"/>
        </w:rPr>
        <w:t>，</w:t>
      </w:r>
      <w:r w:rsidRPr="002B1831">
        <w:rPr>
          <w:rFonts w:ascii="仿宋_GB2312" w:eastAsia="仿宋_GB2312" w:hint="eastAsia"/>
          <w:bCs/>
          <w:szCs w:val="28"/>
        </w:rPr>
        <w:t>按公司所持</w:t>
      </w:r>
      <w:r w:rsidRPr="002B1831">
        <w:rPr>
          <w:rFonts w:eastAsia="仿宋_GB2312" w:hint="eastAsia"/>
          <w:bCs/>
          <w:szCs w:val="28"/>
        </w:rPr>
        <w:t>广州证券公司</w:t>
      </w:r>
      <w:r w:rsidRPr="002B1831">
        <w:rPr>
          <w:rFonts w:ascii="仿宋_GB2312" w:eastAsia="仿宋_GB2312"/>
          <w:bCs/>
          <w:szCs w:val="28"/>
        </w:rPr>
        <w:t>2</w:t>
      </w:r>
      <w:r w:rsidRPr="002B1831">
        <w:rPr>
          <w:rFonts w:ascii="仿宋_GB2312" w:eastAsia="仿宋_GB2312" w:hint="eastAsia"/>
          <w:bCs/>
          <w:szCs w:val="28"/>
        </w:rPr>
        <w:t>4.48</w:t>
      </w:r>
      <w:r w:rsidRPr="002B1831">
        <w:rPr>
          <w:rFonts w:ascii="仿宋_GB2312" w:eastAsia="仿宋_GB2312"/>
          <w:bCs/>
          <w:szCs w:val="28"/>
        </w:rPr>
        <w:t>%</w:t>
      </w:r>
      <w:r w:rsidRPr="002B1831">
        <w:rPr>
          <w:rFonts w:ascii="仿宋_GB2312" w:eastAsia="仿宋_GB2312" w:hint="eastAsia"/>
          <w:bCs/>
          <w:szCs w:val="28"/>
        </w:rPr>
        <w:t>股份</w:t>
      </w:r>
      <w:r w:rsidR="00AB4E5A">
        <w:rPr>
          <w:rFonts w:ascii="仿宋_GB2312" w:eastAsia="仿宋_GB2312" w:hint="eastAsia"/>
          <w:bCs/>
          <w:szCs w:val="28"/>
        </w:rPr>
        <w:t>参与</w:t>
      </w:r>
      <w:r w:rsidRPr="002B1831">
        <w:rPr>
          <w:rFonts w:ascii="仿宋_GB2312" w:eastAsia="仿宋_GB2312" w:hint="eastAsia"/>
          <w:bCs/>
          <w:szCs w:val="28"/>
        </w:rPr>
        <w:t>同比例增资</w:t>
      </w:r>
      <w:r w:rsidR="00135CC9">
        <w:rPr>
          <w:rFonts w:ascii="仿宋_GB2312" w:eastAsia="仿宋_GB2312" w:hint="eastAsia"/>
          <w:bCs/>
          <w:szCs w:val="28"/>
        </w:rPr>
        <w:t>，总金额不超过10亿元</w:t>
      </w:r>
      <w:r w:rsidRPr="002B1831">
        <w:rPr>
          <w:rFonts w:ascii="仿宋_GB2312" w:eastAsia="仿宋_GB2312"/>
          <w:bCs/>
          <w:szCs w:val="28"/>
        </w:rPr>
        <w:t>人民币</w:t>
      </w:r>
      <w:r w:rsidRPr="002B1831">
        <w:rPr>
          <w:rFonts w:ascii="仿宋_GB2312" w:eastAsia="仿宋_GB2312" w:hint="eastAsia"/>
          <w:bCs/>
          <w:szCs w:val="28"/>
        </w:rPr>
        <w:t>。</w:t>
      </w:r>
    </w:p>
    <w:p w:rsidR="00C77275" w:rsidRPr="002B1831" w:rsidRDefault="00C77275" w:rsidP="0088500B">
      <w:pPr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2015</w:t>
      </w:r>
      <w:r w:rsidRPr="00705E5A">
        <w:rPr>
          <w:rFonts w:ascii="仿宋_GB2312" w:eastAsia="仿宋_GB2312" w:hint="eastAsia"/>
          <w:szCs w:val="28"/>
        </w:rPr>
        <w:t>年12月</w:t>
      </w:r>
      <w:r w:rsidR="00705E5A" w:rsidRPr="00705E5A">
        <w:rPr>
          <w:rFonts w:ascii="仿宋_GB2312" w:eastAsia="仿宋_GB2312" w:hint="eastAsia"/>
          <w:szCs w:val="28"/>
        </w:rPr>
        <w:t>22</w:t>
      </w:r>
      <w:r w:rsidRPr="00705E5A">
        <w:rPr>
          <w:rFonts w:ascii="仿宋_GB2312" w:eastAsia="仿宋_GB2312" w:hint="eastAsia"/>
          <w:szCs w:val="28"/>
        </w:rPr>
        <w:t>日</w:t>
      </w:r>
      <w:r w:rsidRPr="002B1831">
        <w:rPr>
          <w:rFonts w:ascii="仿宋_GB2312" w:eastAsia="仿宋_GB2312" w:hint="eastAsia"/>
          <w:szCs w:val="28"/>
        </w:rPr>
        <w:t>，公司第八届董事会第六次会议审议并表决通过了《关于参与广州证券有限责任公司增资扩股的议案》，上述议案无需经公司股东大会批准，未</w:t>
      </w:r>
      <w:r w:rsidRPr="002B1831">
        <w:rPr>
          <w:rFonts w:ascii="仿宋_GB2312" w:eastAsia="仿宋_GB2312"/>
          <w:szCs w:val="28"/>
        </w:rPr>
        <w:t>构成关联交易</w:t>
      </w:r>
      <w:r w:rsidRPr="002B1831">
        <w:rPr>
          <w:rFonts w:ascii="仿宋_GB2312" w:eastAsia="仿宋_GB2312" w:hint="eastAsia"/>
          <w:szCs w:val="28"/>
        </w:rPr>
        <w:t>，未</w:t>
      </w:r>
      <w:r w:rsidRPr="002B1831">
        <w:rPr>
          <w:rFonts w:ascii="仿宋_GB2312" w:eastAsia="仿宋_GB2312"/>
          <w:szCs w:val="28"/>
        </w:rPr>
        <w:t>构成《上市公司重大资产重组管理办法》规定的重大资产重组</w:t>
      </w:r>
      <w:r w:rsidRPr="002B1831">
        <w:rPr>
          <w:rFonts w:ascii="仿宋_GB2312" w:eastAsia="仿宋_GB2312" w:hint="eastAsia"/>
          <w:szCs w:val="28"/>
        </w:rPr>
        <w:t>。</w:t>
      </w:r>
    </w:p>
    <w:p w:rsidR="00C77275" w:rsidRPr="002B1831" w:rsidRDefault="00C77275" w:rsidP="0088500B">
      <w:pPr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eastAsia="仿宋_GB2312" w:hint="eastAsia"/>
          <w:bCs/>
          <w:szCs w:val="28"/>
        </w:rPr>
        <w:t>广州证券此次增资扩股事项</w:t>
      </w:r>
      <w:r w:rsidR="004D5468">
        <w:rPr>
          <w:rFonts w:ascii="仿宋_GB2312" w:eastAsia="仿宋_GB2312" w:hint="eastAsia"/>
          <w:szCs w:val="28"/>
        </w:rPr>
        <w:t>需获得相关有权部门</w:t>
      </w:r>
      <w:r w:rsidRPr="002B1831">
        <w:rPr>
          <w:rFonts w:ascii="仿宋_GB2312" w:eastAsia="仿宋_GB2312" w:hint="eastAsia"/>
          <w:szCs w:val="28"/>
        </w:rPr>
        <w:t>行政许可后</w:t>
      </w:r>
      <w:r w:rsidR="00C6589F">
        <w:rPr>
          <w:rFonts w:ascii="仿宋_GB2312" w:eastAsia="仿宋_GB2312" w:hint="eastAsia"/>
          <w:szCs w:val="28"/>
        </w:rPr>
        <w:t>方可</w:t>
      </w:r>
      <w:r w:rsidRPr="002B1831">
        <w:rPr>
          <w:rFonts w:ascii="仿宋_GB2312" w:eastAsia="仿宋_GB2312" w:hint="eastAsia"/>
          <w:szCs w:val="28"/>
        </w:rPr>
        <w:t>实施。</w:t>
      </w:r>
    </w:p>
    <w:p w:rsidR="002C4024" w:rsidRPr="002B1831" w:rsidRDefault="002C4024" w:rsidP="0088500B">
      <w:pPr>
        <w:tabs>
          <w:tab w:val="num" w:pos="900"/>
        </w:tabs>
        <w:spacing w:beforeLines="50"/>
        <w:ind w:firstLineChars="200" w:firstLine="562"/>
        <w:rPr>
          <w:rFonts w:ascii="仿宋_GB2312" w:eastAsia="仿宋_GB2312"/>
          <w:b/>
          <w:szCs w:val="28"/>
        </w:rPr>
      </w:pPr>
      <w:r w:rsidRPr="002B1831">
        <w:rPr>
          <w:rFonts w:ascii="仿宋_GB2312" w:eastAsia="仿宋_GB2312" w:hint="eastAsia"/>
          <w:b/>
          <w:szCs w:val="28"/>
        </w:rPr>
        <w:t>二、投资标的</w:t>
      </w:r>
      <w:proofErr w:type="gramStart"/>
      <w:r w:rsidRPr="002B1831">
        <w:rPr>
          <w:rFonts w:ascii="仿宋_GB2312" w:eastAsia="仿宋_GB2312" w:hint="eastAsia"/>
          <w:b/>
          <w:szCs w:val="28"/>
        </w:rPr>
        <w:t>的</w:t>
      </w:r>
      <w:proofErr w:type="gramEnd"/>
      <w:r w:rsidRPr="002B1831">
        <w:rPr>
          <w:rFonts w:ascii="仿宋_GB2312" w:eastAsia="仿宋_GB2312" w:hint="eastAsia"/>
          <w:b/>
          <w:szCs w:val="28"/>
        </w:rPr>
        <w:t>基本情况</w:t>
      </w:r>
    </w:p>
    <w:p w:rsidR="006F6A79" w:rsidRPr="00AA4610" w:rsidRDefault="006F6A79" w:rsidP="006F6A79">
      <w:pPr>
        <w:ind w:firstLineChars="200" w:firstLine="560"/>
        <w:rPr>
          <w:rFonts w:ascii="仿宋_GB2312" w:eastAsia="仿宋_GB2312"/>
          <w:szCs w:val="28"/>
        </w:rPr>
      </w:pPr>
      <w:r w:rsidRPr="00AA4610">
        <w:rPr>
          <w:rFonts w:ascii="仿宋_GB2312" w:eastAsia="仿宋_GB2312" w:hint="eastAsia"/>
          <w:bCs/>
          <w:szCs w:val="28"/>
        </w:rPr>
        <w:t>（一） 广州证券公司</w:t>
      </w:r>
      <w:r w:rsidRPr="00AA4610">
        <w:rPr>
          <w:rFonts w:ascii="仿宋_GB2312" w:eastAsia="仿宋_GB2312" w:hint="eastAsia"/>
          <w:szCs w:val="28"/>
        </w:rPr>
        <w:t>增资扩股方案：</w:t>
      </w:r>
    </w:p>
    <w:p w:rsidR="00C77275" w:rsidRPr="002B1831" w:rsidRDefault="00C77275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lastRenderedPageBreak/>
        <w:t>1、增资总额</w:t>
      </w:r>
    </w:p>
    <w:p w:rsidR="00C77275" w:rsidRPr="002B1831" w:rsidRDefault="00C77275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为确保</w:t>
      </w:r>
      <w:r w:rsidR="00B65947">
        <w:rPr>
          <w:rFonts w:ascii="仿宋_GB2312" w:eastAsia="仿宋_GB2312" w:hint="eastAsia"/>
          <w:szCs w:val="28"/>
        </w:rPr>
        <w:t>广州证券</w:t>
      </w:r>
      <w:r w:rsidRPr="002B1831">
        <w:rPr>
          <w:rFonts w:ascii="仿宋_GB2312" w:eastAsia="仿宋_GB2312" w:hint="eastAsia"/>
          <w:szCs w:val="28"/>
        </w:rPr>
        <w:t>2015年净资产规模达到100亿元以上，且结合该公司基于2015年事业计划铺排的实际运营需要反向压力测试需增资约40亿等实际情况（委托证金公司资产管理后），本次增资总金额拟定为40亿元。</w:t>
      </w:r>
    </w:p>
    <w:p w:rsidR="00C77275" w:rsidRPr="002B1831" w:rsidRDefault="00C77275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bCs/>
          <w:szCs w:val="28"/>
        </w:rPr>
      </w:pPr>
      <w:r w:rsidRPr="002B1831">
        <w:rPr>
          <w:rFonts w:ascii="仿宋_GB2312" w:eastAsia="仿宋_GB2312" w:hint="eastAsia"/>
          <w:szCs w:val="28"/>
        </w:rPr>
        <w:t>2、</w:t>
      </w:r>
      <w:r w:rsidRPr="002B1831">
        <w:rPr>
          <w:rFonts w:ascii="仿宋_GB2312" w:eastAsia="仿宋_GB2312" w:hint="eastAsia"/>
          <w:bCs/>
          <w:szCs w:val="28"/>
        </w:rPr>
        <w:t>增资方式</w:t>
      </w:r>
    </w:p>
    <w:p w:rsidR="00434C18" w:rsidRPr="002B1831" w:rsidRDefault="00434C18" w:rsidP="0088500B">
      <w:pPr>
        <w:pStyle w:val="a6"/>
        <w:spacing w:beforeLines="50"/>
        <w:ind w:firstLineChars="200" w:firstLine="560"/>
        <w:rPr>
          <w:rFonts w:ascii="仿宋_GB2312" w:eastAsia="仿宋_GB2312"/>
          <w:sz w:val="28"/>
          <w:szCs w:val="28"/>
        </w:rPr>
      </w:pPr>
      <w:r w:rsidRPr="002B1831">
        <w:rPr>
          <w:rFonts w:ascii="仿宋_GB2312" w:eastAsia="仿宋_GB2312" w:hint="eastAsia"/>
          <w:sz w:val="28"/>
          <w:szCs w:val="28"/>
        </w:rPr>
        <w:t>（1）增资方式原则上采用原有股东同比例增资方式；</w:t>
      </w:r>
    </w:p>
    <w:p w:rsidR="00434C18" w:rsidRPr="002B1831" w:rsidRDefault="00434C18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（2）若有股东放弃或未能足额认购其增资份额，在股东协商一致情况下，将未全额认购股份由其他股东协商分摊；</w:t>
      </w:r>
      <w:proofErr w:type="gramStart"/>
      <w:r w:rsidRPr="002B1831">
        <w:rPr>
          <w:rFonts w:ascii="仿宋_GB2312" w:eastAsia="仿宋_GB2312" w:hint="eastAsia"/>
          <w:szCs w:val="28"/>
        </w:rPr>
        <w:t>若参</w:t>
      </w:r>
      <w:proofErr w:type="gramEnd"/>
      <w:r w:rsidRPr="002B1831">
        <w:rPr>
          <w:rFonts w:ascii="仿宋_GB2312" w:eastAsia="仿宋_GB2312" w:hint="eastAsia"/>
          <w:szCs w:val="28"/>
        </w:rPr>
        <w:t>与分摊的股东不能全额认购其他股东放弃的增资份额，由控股股东越</w:t>
      </w:r>
      <w:proofErr w:type="gramStart"/>
      <w:r w:rsidRPr="002B1831">
        <w:rPr>
          <w:rFonts w:ascii="仿宋_GB2312" w:eastAsia="仿宋_GB2312" w:hint="eastAsia"/>
          <w:szCs w:val="28"/>
        </w:rPr>
        <w:t>秀金控</w:t>
      </w:r>
      <w:proofErr w:type="gramEnd"/>
      <w:r w:rsidRPr="002B1831">
        <w:rPr>
          <w:rFonts w:ascii="仿宋_GB2312" w:eastAsia="仿宋_GB2312" w:hint="eastAsia"/>
          <w:szCs w:val="28"/>
        </w:rPr>
        <w:t>认购所剩股份。</w:t>
      </w:r>
    </w:p>
    <w:p w:rsidR="00434C18" w:rsidRPr="006F6A79" w:rsidRDefault="00434C18" w:rsidP="006F6A79">
      <w:pPr>
        <w:pStyle w:val="dsh-"/>
        <w:spacing w:before="156" w:afterLines="0" w:line="240" w:lineRule="auto"/>
        <w:ind w:firstLine="560"/>
        <w:rPr>
          <w:b w:val="0"/>
          <w:sz w:val="28"/>
          <w:szCs w:val="28"/>
        </w:rPr>
      </w:pPr>
      <w:r w:rsidRPr="006F6A79">
        <w:rPr>
          <w:rFonts w:ascii="仿宋_GB2312" w:hint="eastAsia"/>
          <w:b w:val="0"/>
          <w:sz w:val="28"/>
          <w:szCs w:val="28"/>
        </w:rPr>
        <w:t>（3）</w:t>
      </w:r>
      <w:r w:rsidRPr="006F6A79">
        <w:rPr>
          <w:rFonts w:hint="eastAsia"/>
          <w:b w:val="0"/>
          <w:sz w:val="28"/>
          <w:szCs w:val="28"/>
        </w:rPr>
        <w:t>增资价格</w:t>
      </w:r>
    </w:p>
    <w:p w:rsidR="00434C18" w:rsidRPr="002B1831" w:rsidRDefault="00434C18" w:rsidP="0088500B">
      <w:pPr>
        <w:tabs>
          <w:tab w:val="num" w:pos="900"/>
        </w:tabs>
        <w:spacing w:beforeLines="50"/>
        <w:ind w:firstLineChars="200" w:firstLine="568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pacing w:val="2"/>
          <w:szCs w:val="28"/>
        </w:rPr>
        <w:t>本次增资方式原则上采用原股东同比例增资的方式，</w:t>
      </w:r>
      <w:r w:rsidRPr="002B1831">
        <w:rPr>
          <w:rFonts w:ascii="仿宋_GB2312" w:eastAsia="仿宋_GB2312" w:hint="eastAsia"/>
          <w:szCs w:val="28"/>
        </w:rPr>
        <w:t>以广州证券2015年6月30日经审计的每股净资产扣除</w:t>
      </w:r>
      <w:r w:rsidRPr="002B1831">
        <w:rPr>
          <w:rFonts w:ascii="仿宋_GB2312" w:eastAsia="仿宋_GB2312"/>
          <w:szCs w:val="28"/>
        </w:rPr>
        <w:t>拟分红</w:t>
      </w:r>
      <w:r w:rsidRPr="002B1831">
        <w:rPr>
          <w:rFonts w:ascii="仿宋_GB2312" w:eastAsia="仿宋_GB2312" w:hint="eastAsia"/>
          <w:szCs w:val="28"/>
        </w:rPr>
        <w:t>部分</w:t>
      </w:r>
      <w:r w:rsidRPr="002B1831">
        <w:rPr>
          <w:rFonts w:ascii="仿宋_GB2312" w:eastAsia="仿宋_GB2312"/>
          <w:szCs w:val="28"/>
        </w:rPr>
        <w:t>的</w:t>
      </w:r>
      <w:r w:rsidRPr="002B1831">
        <w:rPr>
          <w:rFonts w:ascii="仿宋_GB2312" w:eastAsia="仿宋_GB2312" w:hint="eastAsia"/>
          <w:szCs w:val="28"/>
        </w:rPr>
        <w:t>价格即1.97元为基础，具体价格以经广州证券股东大会确定的价格为准。</w:t>
      </w:r>
    </w:p>
    <w:p w:rsidR="00DE7B4C" w:rsidRPr="002B1831" w:rsidRDefault="00FF0C8A" w:rsidP="0088500B">
      <w:pPr>
        <w:spacing w:beforeLines="50"/>
        <w:ind w:leftChars="-171" w:left="-479" w:rightChars="-200" w:right="-560" w:firstLineChars="290" w:firstLine="812"/>
        <w:rPr>
          <w:rFonts w:ascii="仿宋_GB2312" w:eastAsia="仿宋_GB2312"/>
          <w:szCs w:val="28"/>
        </w:rPr>
      </w:pPr>
      <w:r>
        <w:rPr>
          <w:rFonts w:ascii="仿宋_GB2312" w:eastAsia="仿宋_GB2312" w:hint="eastAsia"/>
          <w:szCs w:val="28"/>
        </w:rPr>
        <w:t>（二）广州证券</w:t>
      </w:r>
      <w:r w:rsidR="00DE7B4C" w:rsidRPr="002B1831">
        <w:rPr>
          <w:rFonts w:ascii="仿宋_GB2312" w:eastAsia="仿宋_GB2312" w:hint="eastAsia"/>
          <w:szCs w:val="28"/>
        </w:rPr>
        <w:t>基本情况</w:t>
      </w:r>
    </w:p>
    <w:p w:rsidR="00DE7B4C" w:rsidRPr="005537EE" w:rsidRDefault="00DE7B4C" w:rsidP="0088500B">
      <w:pPr>
        <w:spacing w:beforeLines="50"/>
        <w:ind w:firstLineChars="290" w:firstLine="812"/>
        <w:rPr>
          <w:rFonts w:ascii="仿宋_GB2312" w:eastAsia="仿宋_GB2312"/>
          <w:szCs w:val="28"/>
        </w:rPr>
      </w:pPr>
      <w:r w:rsidRPr="005537EE">
        <w:rPr>
          <w:rFonts w:ascii="仿宋_GB2312" w:eastAsia="仿宋_GB2312" w:hint="eastAsia"/>
          <w:szCs w:val="28"/>
        </w:rPr>
        <w:t>注册地址：广东省广州市天河区珠江西路</w:t>
      </w:r>
      <w:r w:rsidRPr="005537EE">
        <w:rPr>
          <w:rFonts w:ascii="仿宋_GB2312" w:eastAsia="仿宋_GB2312"/>
          <w:szCs w:val="28"/>
        </w:rPr>
        <w:t xml:space="preserve"> 5</w:t>
      </w:r>
      <w:r w:rsidRPr="005537EE">
        <w:rPr>
          <w:rFonts w:ascii="仿宋_GB2312" w:eastAsia="仿宋_GB2312" w:hint="eastAsia"/>
          <w:szCs w:val="28"/>
        </w:rPr>
        <w:t>号广州国际金融中心主塔</w:t>
      </w:r>
      <w:r w:rsidRPr="005537EE">
        <w:rPr>
          <w:rFonts w:ascii="仿宋_GB2312" w:eastAsia="仿宋_GB2312"/>
          <w:szCs w:val="28"/>
        </w:rPr>
        <w:t xml:space="preserve">19 </w:t>
      </w:r>
      <w:r w:rsidRPr="005537EE">
        <w:rPr>
          <w:rFonts w:ascii="仿宋_GB2312" w:eastAsia="仿宋_GB2312" w:hint="eastAsia"/>
          <w:szCs w:val="28"/>
        </w:rPr>
        <w:t>层、</w:t>
      </w:r>
      <w:r w:rsidRPr="005537EE">
        <w:rPr>
          <w:rFonts w:ascii="仿宋_GB2312" w:eastAsia="仿宋_GB2312"/>
          <w:szCs w:val="28"/>
        </w:rPr>
        <w:t xml:space="preserve">20 </w:t>
      </w:r>
      <w:r w:rsidRPr="005537EE">
        <w:rPr>
          <w:rFonts w:ascii="仿宋_GB2312" w:eastAsia="仿宋_GB2312" w:hint="eastAsia"/>
          <w:szCs w:val="28"/>
        </w:rPr>
        <w:t>层；法定代表人：</w:t>
      </w:r>
      <w:r w:rsidR="00816F76" w:rsidRPr="005537EE">
        <w:rPr>
          <w:rFonts w:ascii="仿宋_GB2312" w:eastAsia="仿宋_GB2312" w:hint="eastAsia"/>
          <w:szCs w:val="28"/>
        </w:rPr>
        <w:t>邱三发</w:t>
      </w:r>
      <w:r w:rsidRPr="005537EE">
        <w:rPr>
          <w:rFonts w:ascii="仿宋_GB2312" w:eastAsia="仿宋_GB2312" w:hint="eastAsia"/>
          <w:szCs w:val="28"/>
        </w:rPr>
        <w:t>；注册资本：</w:t>
      </w:r>
      <w:r w:rsidR="00816F76" w:rsidRPr="005537EE">
        <w:rPr>
          <w:rFonts w:ascii="仿宋_GB2312" w:eastAsia="仿宋_GB2312" w:hint="eastAsia"/>
          <w:szCs w:val="28"/>
        </w:rPr>
        <w:t>33.3亿</w:t>
      </w:r>
      <w:r w:rsidRPr="005537EE">
        <w:rPr>
          <w:rFonts w:ascii="仿宋_GB2312" w:eastAsia="仿宋_GB2312" w:hint="eastAsia"/>
          <w:szCs w:val="28"/>
        </w:rPr>
        <w:t>元人民币；企业类型：其他</w:t>
      </w:r>
      <w:r w:rsidR="00816F76" w:rsidRPr="005537EE">
        <w:rPr>
          <w:rFonts w:ascii="仿宋_GB2312" w:eastAsia="仿宋_GB2312" w:hint="eastAsia"/>
          <w:szCs w:val="28"/>
        </w:rPr>
        <w:t>股份有限公司（非上市）</w:t>
      </w:r>
      <w:r w:rsidRPr="005537EE">
        <w:rPr>
          <w:rFonts w:ascii="仿宋_GB2312" w:eastAsia="仿宋_GB2312" w:hint="eastAsia"/>
          <w:szCs w:val="28"/>
        </w:rPr>
        <w:t>；营业范围：</w:t>
      </w:r>
      <w:r w:rsidR="005537EE" w:rsidRPr="005537EE">
        <w:rPr>
          <w:rFonts w:ascii="仿宋_GB2312" w:eastAsia="仿宋_GB2312"/>
          <w:szCs w:val="28"/>
        </w:rPr>
        <w:t>证券经纪;证券投资基金销售服务;代销金融产品;融资融券;机构证券自</w:t>
      </w:r>
      <w:r w:rsidR="005537EE" w:rsidRPr="005537EE">
        <w:rPr>
          <w:rFonts w:ascii="仿宋_GB2312" w:eastAsia="仿宋_GB2312"/>
          <w:szCs w:val="28"/>
        </w:rPr>
        <w:lastRenderedPageBreak/>
        <w:t>营投资服务;证券承销和保荐;与证券交易、证券投资活动有关的财务顾问;证券投资咨询;证券资产管理;为期货公司提供中间介绍业务（限证券公司）</w:t>
      </w:r>
      <w:r w:rsidR="005537EE" w:rsidRPr="005537EE">
        <w:rPr>
          <w:rFonts w:ascii="仿宋_GB2312" w:eastAsia="仿宋_GB2312" w:hint="eastAsia"/>
          <w:szCs w:val="28"/>
        </w:rPr>
        <w:t>等</w:t>
      </w:r>
      <w:r w:rsidRPr="005537EE">
        <w:rPr>
          <w:rFonts w:ascii="仿宋_GB2312" w:eastAsia="仿宋_GB2312" w:hint="eastAsia"/>
          <w:szCs w:val="28"/>
        </w:rPr>
        <w:t>。</w:t>
      </w:r>
    </w:p>
    <w:p w:rsidR="00DE7B4C" w:rsidRPr="005537EE" w:rsidRDefault="00D32261" w:rsidP="0088500B">
      <w:pPr>
        <w:spacing w:beforeLines="50"/>
        <w:ind w:firstLineChars="200" w:firstLine="560"/>
        <w:rPr>
          <w:rFonts w:ascii="仿宋_GB2312" w:eastAsia="仿宋_GB2312"/>
          <w:szCs w:val="28"/>
        </w:rPr>
      </w:pPr>
      <w:r>
        <w:rPr>
          <w:rFonts w:ascii="仿宋_GB2312" w:eastAsia="仿宋_GB2312" w:hint="eastAsia"/>
          <w:szCs w:val="28"/>
        </w:rPr>
        <w:t>如广州证券各股东按同比例参与本次增资，</w:t>
      </w:r>
      <w:r w:rsidR="00FF0C8A" w:rsidRPr="005537EE">
        <w:rPr>
          <w:rFonts w:ascii="仿宋_GB2312" w:eastAsia="仿宋_GB2312" w:hint="eastAsia"/>
          <w:szCs w:val="28"/>
        </w:rPr>
        <w:t>广州证券</w:t>
      </w:r>
      <w:r w:rsidR="00DE7B4C" w:rsidRPr="005537EE">
        <w:rPr>
          <w:rFonts w:ascii="仿宋_GB2312" w:eastAsia="仿宋_GB2312" w:hint="eastAsia"/>
          <w:szCs w:val="28"/>
        </w:rPr>
        <w:t>增资前后股权结构变化情况如下：</w:t>
      </w:r>
    </w:p>
    <w:tbl>
      <w:tblPr>
        <w:tblW w:w="5364" w:type="pct"/>
        <w:jc w:val="center"/>
        <w:tblCellMar>
          <w:left w:w="0" w:type="dxa"/>
          <w:right w:w="0" w:type="dxa"/>
        </w:tblCellMar>
        <w:tblLook w:val="0600"/>
      </w:tblPr>
      <w:tblGrid>
        <w:gridCol w:w="1851"/>
        <w:gridCol w:w="1134"/>
        <w:gridCol w:w="1278"/>
        <w:gridCol w:w="1278"/>
        <w:gridCol w:w="1151"/>
        <w:gridCol w:w="1117"/>
        <w:gridCol w:w="1130"/>
      </w:tblGrid>
      <w:tr w:rsidR="00DE7B4C" w:rsidRPr="005537EE" w:rsidTr="006C3187">
        <w:trPr>
          <w:trHeight w:val="488"/>
          <w:jc w:val="center"/>
        </w:trPr>
        <w:tc>
          <w:tcPr>
            <w:tcW w:w="10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股东</w:t>
            </w:r>
          </w:p>
        </w:tc>
        <w:tc>
          <w:tcPr>
            <w:tcW w:w="134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增资扩股前</w:t>
            </w:r>
          </w:p>
        </w:tc>
        <w:tc>
          <w:tcPr>
            <w:tcW w:w="13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本次增资</w:t>
            </w:r>
          </w:p>
        </w:tc>
        <w:tc>
          <w:tcPr>
            <w:tcW w:w="12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增资扩股后</w:t>
            </w:r>
          </w:p>
        </w:tc>
      </w:tr>
      <w:tr w:rsidR="00DE7B4C" w:rsidRPr="005537EE" w:rsidTr="006C3187">
        <w:trPr>
          <w:trHeight w:val="639"/>
          <w:jc w:val="center"/>
        </w:trPr>
        <w:tc>
          <w:tcPr>
            <w:tcW w:w="10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持股数</w:t>
            </w:r>
          </w:p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（万股）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持股</w:t>
            </w:r>
          </w:p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比例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新增出资</w:t>
            </w:r>
          </w:p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（万元）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折合股数</w:t>
            </w:r>
          </w:p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（万股）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持股数</w:t>
            </w:r>
          </w:p>
          <w:p w:rsidR="00DE7B4C" w:rsidRPr="005537EE" w:rsidRDefault="00DE7B4C" w:rsidP="00DE7B4C">
            <w:pPr>
              <w:widowControl/>
              <w:spacing w:line="300" w:lineRule="exact"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（万股）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持股</w:t>
            </w:r>
          </w:p>
          <w:p w:rsidR="00DE7B4C" w:rsidRPr="005537EE" w:rsidRDefault="00DE7B4C" w:rsidP="00DE7B4C">
            <w:pPr>
              <w:widowControl/>
              <w:jc w:val="center"/>
              <w:textAlignment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比例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left"/>
              <w:rPr>
                <w:rFonts w:ascii="仿宋_GB2312" w:eastAsia="仿宋_GB2312" w:hAnsi="Calibri"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Cs/>
                <w:kern w:val="0"/>
                <w:sz w:val="21"/>
                <w:szCs w:val="21"/>
              </w:rPr>
              <w:t>广州越</w:t>
            </w:r>
            <w:proofErr w:type="gramStart"/>
            <w:r w:rsidRPr="005537EE">
              <w:rPr>
                <w:rFonts w:ascii="仿宋_GB2312" w:eastAsia="仿宋_GB2312" w:hAnsi="Calibri" w:hint="eastAsia"/>
                <w:bCs/>
                <w:kern w:val="0"/>
                <w:sz w:val="21"/>
                <w:szCs w:val="21"/>
              </w:rPr>
              <w:t>秀金融</w:t>
            </w:r>
            <w:proofErr w:type="gramEnd"/>
            <w:r w:rsidRPr="005537EE">
              <w:rPr>
                <w:rFonts w:ascii="仿宋_GB2312" w:eastAsia="仿宋_GB2312" w:hAnsi="Calibri" w:hint="eastAsia"/>
                <w:bCs/>
                <w:kern w:val="0"/>
                <w:sz w:val="21"/>
                <w:szCs w:val="21"/>
              </w:rPr>
              <w:t>控股集团有限公司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220,100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66.10%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264,384.00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134,205.08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354,304.76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66.10%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int="eastAsia"/>
                <w:sz w:val="21"/>
                <w:szCs w:val="21"/>
              </w:rPr>
              <w:t>广州恒运企业集团股份有限公司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81,512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24.48%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97,912.80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49,701.93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131,214.33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24.48%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int="eastAsia"/>
                <w:sz w:val="21"/>
                <w:szCs w:val="21"/>
              </w:rPr>
              <w:t>广州城启集团有限公司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8,599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2.58%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10,329.60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5,243.45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13,842.84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2.58%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int="eastAsia"/>
                <w:sz w:val="21"/>
                <w:szCs w:val="21"/>
              </w:rPr>
              <w:t>广州富力地产股份有限公司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8,411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2.53%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10,103.20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5,128.53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13,539.44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2.53%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int="eastAsia"/>
                <w:sz w:val="21"/>
                <w:szCs w:val="21"/>
              </w:rPr>
              <w:t>广州市白云出租汽车集团有限公司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5,784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1.74%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6,948.00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3,526.90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9,311.11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1.74%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cs="Arial" w:hint="eastAsia"/>
                <w:sz w:val="21"/>
                <w:szCs w:val="21"/>
              </w:rPr>
              <w:t>北京中邮资产管理有限公司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4,364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1.31%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5,242.00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2,660.91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7,024.88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1.31%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int="eastAsia"/>
                <w:sz w:val="21"/>
                <w:szCs w:val="21"/>
              </w:rPr>
              <w:t>广州金控资本管理有限公司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4,229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黑体"/>
                <w:sz w:val="21"/>
                <w:szCs w:val="21"/>
              </w:rPr>
            </w:pPr>
            <w:r w:rsidRPr="005537EE">
              <w:rPr>
                <w:rFonts w:ascii="黑体" w:eastAsia="黑体" w:hAnsi="黑体" w:hint="eastAsia"/>
                <w:sz w:val="21"/>
                <w:szCs w:val="21"/>
              </w:rPr>
              <w:t>1.27%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5,080.40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2,578.88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6,808.32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1.27%</w:t>
            </w:r>
          </w:p>
        </w:tc>
      </w:tr>
      <w:tr w:rsidR="00DE7B4C" w:rsidRPr="005537EE" w:rsidTr="006C3187">
        <w:trPr>
          <w:trHeight w:val="488"/>
          <w:jc w:val="center"/>
        </w:trPr>
        <w:tc>
          <w:tcPr>
            <w:tcW w:w="10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widowControl/>
              <w:spacing w:line="300" w:lineRule="exact"/>
              <w:jc w:val="center"/>
              <w:rPr>
                <w:rFonts w:ascii="仿宋_GB2312" w:eastAsia="仿宋_GB2312" w:hAnsi="Calibri"/>
                <w:b/>
                <w:bCs/>
                <w:kern w:val="0"/>
                <w:sz w:val="21"/>
                <w:szCs w:val="21"/>
              </w:rPr>
            </w:pPr>
            <w:r w:rsidRPr="005537EE">
              <w:rPr>
                <w:rFonts w:ascii="仿宋_GB2312" w:eastAsia="仿宋_GB2312" w:hAnsi="Calibri" w:hint="eastAsia"/>
                <w:b/>
                <w:bCs/>
                <w:kern w:val="0"/>
                <w:sz w:val="21"/>
                <w:szCs w:val="21"/>
              </w:rPr>
              <w:t>合  计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333,000</w:t>
            </w:r>
          </w:p>
        </w:tc>
        <w:tc>
          <w:tcPr>
            <w:tcW w:w="7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100.00%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400,000.00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203,045.69</w:t>
            </w:r>
          </w:p>
        </w:tc>
        <w:tc>
          <w:tcPr>
            <w:tcW w:w="6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536,045.69</w:t>
            </w:r>
          </w:p>
        </w:tc>
        <w:tc>
          <w:tcPr>
            <w:tcW w:w="6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DE7B4C" w:rsidRPr="005537EE" w:rsidRDefault="00DE7B4C" w:rsidP="00DE7B4C">
            <w:pPr>
              <w:jc w:val="center"/>
              <w:rPr>
                <w:rFonts w:ascii="仿宋_GB2312" w:eastAsia="仿宋_GB2312" w:hAnsi="Times New Roman"/>
                <w:sz w:val="21"/>
                <w:szCs w:val="21"/>
              </w:rPr>
            </w:pPr>
            <w:r w:rsidRPr="005537EE">
              <w:rPr>
                <w:rFonts w:ascii="仿宋_GB2312" w:eastAsia="仿宋_GB2312" w:hAnsi="Times New Roman" w:hint="eastAsia"/>
                <w:sz w:val="21"/>
                <w:szCs w:val="21"/>
              </w:rPr>
              <w:t>100.00%</w:t>
            </w:r>
          </w:p>
        </w:tc>
      </w:tr>
    </w:tbl>
    <w:p w:rsidR="00DE7B4C" w:rsidRPr="005537EE" w:rsidRDefault="00DE7B4C" w:rsidP="0088500B">
      <w:pPr>
        <w:spacing w:beforeLines="50"/>
        <w:ind w:firstLineChars="200" w:firstLine="560"/>
        <w:rPr>
          <w:rFonts w:ascii="仿宋_GB2312" w:eastAsia="仿宋_GB2312"/>
          <w:szCs w:val="28"/>
        </w:rPr>
      </w:pPr>
      <w:r w:rsidRPr="005537EE">
        <w:rPr>
          <w:rFonts w:ascii="仿宋_GB2312" w:eastAsia="仿宋_GB2312" w:hint="eastAsia"/>
          <w:szCs w:val="28"/>
        </w:rPr>
        <w:t>本次</w:t>
      </w:r>
      <w:r w:rsidR="00FF0C8A" w:rsidRPr="005537EE">
        <w:rPr>
          <w:rFonts w:ascii="仿宋_GB2312" w:eastAsia="仿宋_GB2312" w:hAnsi="Times New Roman" w:hint="eastAsia"/>
          <w:bCs/>
          <w:szCs w:val="28"/>
        </w:rPr>
        <w:t>广州证券</w:t>
      </w:r>
      <w:r w:rsidRPr="005537EE">
        <w:rPr>
          <w:rFonts w:ascii="仿宋_GB2312" w:eastAsia="仿宋_GB2312" w:hint="eastAsia"/>
          <w:szCs w:val="28"/>
        </w:rPr>
        <w:t>增资扩股方案如获批准后，公司共持有</w:t>
      </w:r>
      <w:r w:rsidRPr="005537EE">
        <w:rPr>
          <w:rFonts w:ascii="仿宋_GB2312" w:eastAsia="仿宋_GB2312" w:hAnsi="Times New Roman" w:hint="eastAsia"/>
          <w:szCs w:val="28"/>
        </w:rPr>
        <w:t>广州证券公司24.48%股权（</w:t>
      </w:r>
      <w:r w:rsidR="00D32261">
        <w:rPr>
          <w:rFonts w:ascii="仿宋_GB2312" w:eastAsia="仿宋_GB2312" w:hAnsi="Times New Roman" w:hint="eastAsia"/>
          <w:szCs w:val="28"/>
        </w:rPr>
        <w:t>广州证券各股东</w:t>
      </w:r>
      <w:r w:rsidRPr="005537EE">
        <w:rPr>
          <w:rFonts w:ascii="仿宋_GB2312" w:eastAsia="仿宋_GB2312" w:hAnsi="Times New Roman" w:hint="eastAsia"/>
          <w:szCs w:val="28"/>
        </w:rPr>
        <w:t>具体持股比例以有权机关核准数为准）。</w:t>
      </w:r>
    </w:p>
    <w:p w:rsidR="00DE7B4C" w:rsidRPr="005537EE" w:rsidRDefault="002B1831" w:rsidP="0088500B">
      <w:pPr>
        <w:spacing w:beforeLines="50"/>
        <w:ind w:firstLineChars="200" w:firstLine="560"/>
        <w:rPr>
          <w:rFonts w:ascii="仿宋_GB2312" w:eastAsia="仿宋_GB2312" w:cs="宋体"/>
          <w:szCs w:val="28"/>
        </w:rPr>
      </w:pPr>
      <w:r w:rsidRPr="005537EE">
        <w:rPr>
          <w:rFonts w:ascii="仿宋_GB2312" w:eastAsia="仿宋_GB2312" w:hint="eastAsia"/>
          <w:szCs w:val="28"/>
        </w:rPr>
        <w:t>广州证券</w:t>
      </w:r>
      <w:r w:rsidR="00DE7B4C" w:rsidRPr="005537EE">
        <w:rPr>
          <w:rFonts w:ascii="仿宋_GB2312" w:eastAsia="仿宋_GB2312" w:hint="eastAsia"/>
          <w:szCs w:val="28"/>
        </w:rPr>
        <w:t>最近一年又一期的主要财务指标如下：</w:t>
      </w:r>
    </w:p>
    <w:tbl>
      <w:tblPr>
        <w:tblW w:w="1000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00"/>
        <w:gridCol w:w="1546"/>
        <w:gridCol w:w="1620"/>
        <w:gridCol w:w="1440"/>
        <w:gridCol w:w="1440"/>
        <w:gridCol w:w="1260"/>
      </w:tblGrid>
      <w:tr w:rsidR="00DE7B4C" w:rsidRPr="005537EE" w:rsidTr="006C3187">
        <w:trPr>
          <w:trHeight w:val="255"/>
        </w:trPr>
        <w:tc>
          <w:tcPr>
            <w:tcW w:w="2700" w:type="dxa"/>
          </w:tcPr>
          <w:p w:rsidR="00DE7B4C" w:rsidRPr="005537EE" w:rsidRDefault="00DE7B4C" w:rsidP="00DE7B4C">
            <w:pPr>
              <w:spacing w:line="360" w:lineRule="auto"/>
              <w:ind w:left="720" w:firstLineChars="200" w:firstLine="420"/>
              <w:jc w:val="center"/>
              <w:rPr>
                <w:rFonts w:ascii="仿宋_GB2312" w:eastAsia="仿宋_GB2312" w:cs="宋体"/>
                <w:sz w:val="21"/>
              </w:rPr>
            </w:pPr>
          </w:p>
        </w:tc>
        <w:tc>
          <w:tcPr>
            <w:tcW w:w="1546" w:type="dxa"/>
          </w:tcPr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资产总额</w:t>
            </w:r>
          </w:p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（万元）</w:t>
            </w:r>
          </w:p>
        </w:tc>
        <w:tc>
          <w:tcPr>
            <w:tcW w:w="1620" w:type="dxa"/>
          </w:tcPr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负债总额</w:t>
            </w:r>
          </w:p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（万元）</w:t>
            </w:r>
          </w:p>
        </w:tc>
        <w:tc>
          <w:tcPr>
            <w:tcW w:w="1440" w:type="dxa"/>
          </w:tcPr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净资产</w:t>
            </w:r>
          </w:p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（万元）</w:t>
            </w:r>
          </w:p>
        </w:tc>
        <w:tc>
          <w:tcPr>
            <w:tcW w:w="1440" w:type="dxa"/>
          </w:tcPr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营业收入</w:t>
            </w:r>
          </w:p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（万元）</w:t>
            </w:r>
          </w:p>
        </w:tc>
        <w:tc>
          <w:tcPr>
            <w:tcW w:w="1260" w:type="dxa"/>
          </w:tcPr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净利润</w:t>
            </w:r>
          </w:p>
          <w:p w:rsidR="00DE7B4C" w:rsidRPr="005537EE" w:rsidRDefault="00DE7B4C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（万元）</w:t>
            </w:r>
          </w:p>
        </w:tc>
      </w:tr>
      <w:tr w:rsidR="00BC7BAD" w:rsidRPr="005537EE" w:rsidTr="006C3187">
        <w:trPr>
          <w:trHeight w:val="390"/>
        </w:trPr>
        <w:tc>
          <w:tcPr>
            <w:tcW w:w="2700" w:type="dxa"/>
            <w:vAlign w:val="center"/>
          </w:tcPr>
          <w:p w:rsidR="00BC7BAD" w:rsidRPr="005537EE" w:rsidRDefault="00BC7BAD" w:rsidP="00DE7B4C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t>2014年（经审计）</w:t>
            </w:r>
          </w:p>
        </w:tc>
        <w:tc>
          <w:tcPr>
            <w:tcW w:w="1546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2,788,389</w:t>
            </w:r>
          </w:p>
        </w:tc>
        <w:tc>
          <w:tcPr>
            <w:tcW w:w="162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2,194,124</w:t>
            </w:r>
          </w:p>
        </w:tc>
        <w:tc>
          <w:tcPr>
            <w:tcW w:w="144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594,265</w:t>
            </w:r>
          </w:p>
        </w:tc>
        <w:tc>
          <w:tcPr>
            <w:tcW w:w="144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168,170</w:t>
            </w:r>
          </w:p>
        </w:tc>
        <w:tc>
          <w:tcPr>
            <w:tcW w:w="1260" w:type="dxa"/>
            <w:vAlign w:val="center"/>
          </w:tcPr>
          <w:p w:rsidR="00BC7BAD" w:rsidRPr="005537EE" w:rsidRDefault="00BC7BAD" w:rsidP="006C3187">
            <w:pPr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53,624</w:t>
            </w:r>
          </w:p>
        </w:tc>
      </w:tr>
      <w:tr w:rsidR="00BC7BAD" w:rsidRPr="005537EE" w:rsidTr="006C3187">
        <w:trPr>
          <w:trHeight w:val="270"/>
        </w:trPr>
        <w:tc>
          <w:tcPr>
            <w:tcW w:w="2700" w:type="dxa"/>
            <w:vAlign w:val="center"/>
          </w:tcPr>
          <w:p w:rsidR="00BC7BAD" w:rsidRPr="005537EE" w:rsidRDefault="00BC7BAD" w:rsidP="00816F76">
            <w:pPr>
              <w:spacing w:line="360" w:lineRule="auto"/>
              <w:jc w:val="center"/>
              <w:rPr>
                <w:rFonts w:ascii="仿宋_GB2312" w:eastAsia="仿宋_GB2312" w:cs="宋体"/>
                <w:sz w:val="21"/>
              </w:rPr>
            </w:pPr>
            <w:r w:rsidRPr="005537EE">
              <w:rPr>
                <w:rFonts w:ascii="仿宋_GB2312" w:eastAsia="仿宋_GB2312" w:cs="宋体" w:hint="eastAsia"/>
                <w:sz w:val="21"/>
              </w:rPr>
              <w:lastRenderedPageBreak/>
              <w:t>2015年三季度（未经审计）</w:t>
            </w:r>
          </w:p>
        </w:tc>
        <w:tc>
          <w:tcPr>
            <w:tcW w:w="1546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3,632,225</w:t>
            </w:r>
          </w:p>
        </w:tc>
        <w:tc>
          <w:tcPr>
            <w:tcW w:w="162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2,939,947</w:t>
            </w:r>
          </w:p>
        </w:tc>
        <w:tc>
          <w:tcPr>
            <w:tcW w:w="144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692,278</w:t>
            </w:r>
          </w:p>
        </w:tc>
        <w:tc>
          <w:tcPr>
            <w:tcW w:w="144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253,351</w:t>
            </w:r>
          </w:p>
        </w:tc>
        <w:tc>
          <w:tcPr>
            <w:tcW w:w="1260" w:type="dxa"/>
            <w:vAlign w:val="center"/>
          </w:tcPr>
          <w:p w:rsidR="00BC7BAD" w:rsidRPr="005537EE" w:rsidRDefault="00BC7BAD" w:rsidP="006C3187">
            <w:pPr>
              <w:spacing w:line="360" w:lineRule="auto"/>
              <w:jc w:val="center"/>
              <w:rPr>
                <w:rFonts w:ascii="仿宋_GB2312" w:eastAsia="仿宋_GB2312"/>
                <w:sz w:val="21"/>
                <w:szCs w:val="21"/>
              </w:rPr>
            </w:pPr>
            <w:r w:rsidRPr="005537EE">
              <w:rPr>
                <w:rFonts w:ascii="仿宋_GB2312" w:eastAsia="仿宋_GB2312" w:cs="仿宋_GB2312"/>
                <w:sz w:val="21"/>
                <w:szCs w:val="21"/>
              </w:rPr>
              <w:t>68,967</w:t>
            </w:r>
          </w:p>
        </w:tc>
      </w:tr>
    </w:tbl>
    <w:p w:rsidR="002C4024" w:rsidRPr="002B1831" w:rsidRDefault="006F6A79" w:rsidP="0088500B">
      <w:pPr>
        <w:tabs>
          <w:tab w:val="num" w:pos="900"/>
        </w:tabs>
        <w:spacing w:beforeLines="50"/>
        <w:rPr>
          <w:rFonts w:ascii="仿宋_GB2312" w:eastAsia="仿宋_GB2312"/>
          <w:b/>
          <w:szCs w:val="28"/>
        </w:rPr>
      </w:pPr>
      <w:r>
        <w:rPr>
          <w:rFonts w:ascii="仿宋_GB2312" w:eastAsia="仿宋_GB2312" w:hint="eastAsia"/>
          <w:b/>
          <w:szCs w:val="28"/>
        </w:rPr>
        <w:t>三</w:t>
      </w:r>
      <w:r w:rsidR="002C4024" w:rsidRPr="002B1831">
        <w:rPr>
          <w:rFonts w:ascii="仿宋_GB2312" w:eastAsia="仿宋_GB2312" w:hint="eastAsia"/>
          <w:b/>
          <w:szCs w:val="28"/>
        </w:rPr>
        <w:t>、对外投资合同的主要内容</w:t>
      </w:r>
    </w:p>
    <w:p w:rsidR="002C4024" w:rsidRPr="002B1831" w:rsidRDefault="00DE7B4C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本公司与</w:t>
      </w:r>
      <w:r w:rsidRPr="002B1831">
        <w:rPr>
          <w:rFonts w:eastAsia="仿宋_GB2312" w:hint="eastAsia"/>
          <w:szCs w:val="28"/>
        </w:rPr>
        <w:t>广州证券</w:t>
      </w:r>
      <w:r w:rsidRPr="002B1831">
        <w:rPr>
          <w:rFonts w:ascii="仿宋_GB2312" w:eastAsia="仿宋_GB2312" w:hint="eastAsia"/>
          <w:szCs w:val="28"/>
        </w:rPr>
        <w:t>尚未签订正式交易合同。公司经营班子将根据公司第八届董事会第</w:t>
      </w:r>
      <w:r w:rsidR="00DF552D" w:rsidRPr="002B1831">
        <w:rPr>
          <w:rFonts w:ascii="仿宋_GB2312" w:eastAsia="仿宋_GB2312" w:hint="eastAsia"/>
          <w:szCs w:val="28"/>
        </w:rPr>
        <w:t>六</w:t>
      </w:r>
      <w:r w:rsidRPr="002B1831">
        <w:rPr>
          <w:rFonts w:ascii="仿宋_GB2312" w:eastAsia="仿宋_GB2312" w:hint="eastAsia"/>
          <w:szCs w:val="28"/>
        </w:rPr>
        <w:t>次会议授权办理此次对外投资的相关工作。</w:t>
      </w:r>
    </w:p>
    <w:p w:rsidR="00DF552D" w:rsidRPr="002B1831" w:rsidRDefault="006F6A79" w:rsidP="0088500B">
      <w:pPr>
        <w:spacing w:beforeLines="50"/>
        <w:rPr>
          <w:rFonts w:ascii="仿宋_GB2312" w:eastAsia="仿宋_GB2312"/>
          <w:b/>
          <w:szCs w:val="28"/>
        </w:rPr>
      </w:pPr>
      <w:r>
        <w:rPr>
          <w:rFonts w:ascii="仿宋_GB2312" w:eastAsia="仿宋_GB2312" w:hint="eastAsia"/>
          <w:b/>
          <w:szCs w:val="28"/>
        </w:rPr>
        <w:t>四</w:t>
      </w:r>
      <w:r w:rsidR="00DF552D" w:rsidRPr="002B1831">
        <w:rPr>
          <w:rFonts w:ascii="仿宋_GB2312" w:eastAsia="仿宋_GB2312" w:hint="eastAsia"/>
          <w:b/>
          <w:szCs w:val="28"/>
        </w:rPr>
        <w:t>、对外投资的目的、存在的风险和对公司的影响</w:t>
      </w:r>
    </w:p>
    <w:p w:rsidR="002C4024" w:rsidRPr="002B1831" w:rsidRDefault="00DF552D" w:rsidP="0088500B">
      <w:pPr>
        <w:pStyle w:val="2"/>
        <w:tabs>
          <w:tab w:val="num" w:pos="900"/>
        </w:tabs>
        <w:spacing w:beforeLines="50" w:line="240" w:lineRule="auto"/>
        <w:ind w:firstLineChars="200" w:firstLine="560"/>
        <w:rPr>
          <w:rFonts w:hAnsi="宋体"/>
          <w:sz w:val="28"/>
          <w:szCs w:val="28"/>
        </w:rPr>
      </w:pPr>
      <w:r w:rsidRPr="002B1831">
        <w:rPr>
          <w:rFonts w:hAnsi="宋体" w:hint="eastAsia"/>
          <w:sz w:val="28"/>
          <w:szCs w:val="28"/>
        </w:rPr>
        <w:t>（一）投资目的</w:t>
      </w:r>
    </w:p>
    <w:p w:rsidR="00DF552D" w:rsidRPr="002B1831" w:rsidRDefault="00260770" w:rsidP="0088500B">
      <w:pPr>
        <w:pStyle w:val="2"/>
        <w:tabs>
          <w:tab w:val="num" w:pos="900"/>
        </w:tabs>
        <w:spacing w:beforeLines="50" w:line="240" w:lineRule="auto"/>
        <w:ind w:firstLineChars="200" w:firstLine="560"/>
        <w:rPr>
          <w:sz w:val="28"/>
          <w:szCs w:val="28"/>
        </w:rPr>
      </w:pPr>
      <w:r w:rsidRPr="002B1831">
        <w:rPr>
          <w:rFonts w:hint="eastAsia"/>
          <w:sz w:val="28"/>
          <w:szCs w:val="28"/>
        </w:rPr>
        <w:t>近年来</w:t>
      </w:r>
      <w:r w:rsidRPr="002B1831">
        <w:rPr>
          <w:sz w:val="28"/>
          <w:szCs w:val="28"/>
        </w:rPr>
        <w:t>，</w:t>
      </w:r>
      <w:r w:rsidRPr="002B1831">
        <w:rPr>
          <w:rFonts w:hint="eastAsia"/>
          <w:sz w:val="28"/>
          <w:szCs w:val="28"/>
        </w:rPr>
        <w:t>在证券</w:t>
      </w:r>
      <w:r w:rsidRPr="002B1831">
        <w:rPr>
          <w:sz w:val="28"/>
          <w:szCs w:val="28"/>
        </w:rPr>
        <w:t>行业创新发展</w:t>
      </w:r>
      <w:r w:rsidRPr="002B1831">
        <w:rPr>
          <w:rFonts w:hint="eastAsia"/>
          <w:sz w:val="28"/>
          <w:szCs w:val="28"/>
        </w:rPr>
        <w:t>的格局</w:t>
      </w:r>
      <w:r w:rsidRPr="002B1831">
        <w:rPr>
          <w:sz w:val="28"/>
          <w:szCs w:val="28"/>
        </w:rPr>
        <w:t>下，</w:t>
      </w:r>
      <w:r w:rsidRPr="002B1831">
        <w:rPr>
          <w:rFonts w:hint="eastAsia"/>
          <w:sz w:val="28"/>
          <w:szCs w:val="28"/>
        </w:rPr>
        <w:t>行业</w:t>
      </w:r>
      <w:r w:rsidRPr="002B1831">
        <w:rPr>
          <w:sz w:val="28"/>
          <w:szCs w:val="28"/>
        </w:rPr>
        <w:t>已</w:t>
      </w:r>
      <w:r w:rsidRPr="002B1831">
        <w:rPr>
          <w:rFonts w:hAnsi="宋体" w:hint="eastAsia"/>
          <w:color w:val="000000"/>
          <w:spacing w:val="2"/>
          <w:sz w:val="28"/>
          <w:szCs w:val="28"/>
        </w:rPr>
        <w:t>逐步</w:t>
      </w:r>
      <w:r w:rsidRPr="002B1831">
        <w:rPr>
          <w:rFonts w:hAnsi="宋体"/>
          <w:color w:val="000000"/>
          <w:spacing w:val="2"/>
          <w:sz w:val="28"/>
          <w:szCs w:val="28"/>
        </w:rPr>
        <w:t>由</w:t>
      </w:r>
      <w:r w:rsidRPr="002B1831">
        <w:rPr>
          <w:rFonts w:hAnsi="宋体" w:hint="eastAsia"/>
          <w:color w:val="000000"/>
          <w:spacing w:val="2"/>
          <w:sz w:val="28"/>
          <w:szCs w:val="28"/>
        </w:rPr>
        <w:t>通道服务商向现代投资银行、由</w:t>
      </w:r>
      <w:proofErr w:type="gramStart"/>
      <w:r w:rsidRPr="002B1831">
        <w:rPr>
          <w:rFonts w:hAnsi="宋体" w:hint="eastAsia"/>
          <w:color w:val="000000"/>
          <w:spacing w:val="2"/>
          <w:sz w:val="28"/>
          <w:szCs w:val="28"/>
        </w:rPr>
        <w:t>轻资本</w:t>
      </w:r>
      <w:proofErr w:type="gramEnd"/>
      <w:r w:rsidRPr="002B1831">
        <w:rPr>
          <w:rFonts w:hAnsi="宋体" w:hint="eastAsia"/>
          <w:color w:val="000000"/>
          <w:spacing w:val="2"/>
          <w:sz w:val="28"/>
          <w:szCs w:val="28"/>
        </w:rPr>
        <w:t>时代向</w:t>
      </w:r>
      <w:proofErr w:type="gramStart"/>
      <w:r w:rsidRPr="002B1831">
        <w:rPr>
          <w:rFonts w:hAnsi="宋体" w:hint="eastAsia"/>
          <w:color w:val="000000"/>
          <w:spacing w:val="2"/>
          <w:sz w:val="28"/>
          <w:szCs w:val="28"/>
        </w:rPr>
        <w:t>重资本</w:t>
      </w:r>
      <w:proofErr w:type="gramEnd"/>
      <w:r w:rsidRPr="002B1831">
        <w:rPr>
          <w:rFonts w:hAnsi="宋体" w:hint="eastAsia"/>
          <w:color w:val="000000"/>
          <w:spacing w:val="2"/>
          <w:sz w:val="28"/>
          <w:szCs w:val="28"/>
        </w:rPr>
        <w:t>时代的转型</w:t>
      </w:r>
      <w:r w:rsidRPr="002B1831">
        <w:rPr>
          <w:rFonts w:hint="eastAsia"/>
          <w:sz w:val="28"/>
          <w:szCs w:val="28"/>
        </w:rPr>
        <w:t>。其中，资本</w:t>
      </w:r>
      <w:r w:rsidRPr="002B1831">
        <w:rPr>
          <w:sz w:val="28"/>
          <w:szCs w:val="28"/>
        </w:rPr>
        <w:t>中介业务和资本投资型业务</w:t>
      </w:r>
      <w:r w:rsidRPr="002B1831">
        <w:rPr>
          <w:rFonts w:hint="eastAsia"/>
          <w:sz w:val="28"/>
          <w:szCs w:val="28"/>
        </w:rPr>
        <w:t>已逐步</w:t>
      </w:r>
      <w:r w:rsidRPr="002B1831">
        <w:rPr>
          <w:sz w:val="28"/>
          <w:szCs w:val="28"/>
        </w:rPr>
        <w:t>成为行业转型发展的</w:t>
      </w:r>
      <w:r w:rsidRPr="002B1831">
        <w:rPr>
          <w:rFonts w:hint="eastAsia"/>
          <w:sz w:val="28"/>
          <w:szCs w:val="28"/>
        </w:rPr>
        <w:t>方向</w:t>
      </w:r>
      <w:r w:rsidRPr="002B1831">
        <w:rPr>
          <w:sz w:val="28"/>
          <w:szCs w:val="28"/>
        </w:rPr>
        <w:t>。</w:t>
      </w:r>
      <w:r w:rsidRPr="002B1831">
        <w:rPr>
          <w:rFonts w:hint="eastAsia"/>
          <w:sz w:val="28"/>
          <w:szCs w:val="28"/>
        </w:rPr>
        <w:t>在</w:t>
      </w:r>
      <w:r w:rsidRPr="002B1831">
        <w:rPr>
          <w:sz w:val="28"/>
          <w:szCs w:val="28"/>
        </w:rPr>
        <w:t>此背景下，</w:t>
      </w:r>
      <w:r w:rsidRPr="002B1831">
        <w:rPr>
          <w:rFonts w:hint="eastAsia"/>
          <w:sz w:val="28"/>
          <w:szCs w:val="28"/>
        </w:rPr>
        <w:t>广州证券资本</w:t>
      </w:r>
      <w:r w:rsidRPr="002B1831">
        <w:rPr>
          <w:sz w:val="28"/>
          <w:szCs w:val="28"/>
        </w:rPr>
        <w:t>中介业务</w:t>
      </w:r>
      <w:r w:rsidRPr="002B1831">
        <w:rPr>
          <w:rFonts w:hint="eastAsia"/>
          <w:sz w:val="28"/>
          <w:szCs w:val="28"/>
        </w:rPr>
        <w:t>和</w:t>
      </w:r>
      <w:r w:rsidRPr="002B1831">
        <w:rPr>
          <w:sz w:val="28"/>
          <w:szCs w:val="28"/>
        </w:rPr>
        <w:t>资本型业务也得到了快速发展。</w:t>
      </w:r>
      <w:r w:rsidRPr="002B1831">
        <w:rPr>
          <w:rFonts w:hint="eastAsia"/>
          <w:sz w:val="28"/>
          <w:szCs w:val="28"/>
        </w:rPr>
        <w:t>但是</w:t>
      </w:r>
      <w:r w:rsidRPr="002B1831">
        <w:rPr>
          <w:sz w:val="28"/>
          <w:szCs w:val="28"/>
        </w:rPr>
        <w:t>，受制于资本实力</w:t>
      </w:r>
      <w:r w:rsidRPr="002B1831">
        <w:rPr>
          <w:rFonts w:hint="eastAsia"/>
          <w:sz w:val="28"/>
          <w:szCs w:val="28"/>
        </w:rPr>
        <w:t>偏弱等原因，广州证券</w:t>
      </w:r>
      <w:r w:rsidRPr="002B1831">
        <w:rPr>
          <w:sz w:val="28"/>
          <w:szCs w:val="28"/>
        </w:rPr>
        <w:t>资本中介业务发展</w:t>
      </w:r>
      <w:r w:rsidRPr="002B1831">
        <w:rPr>
          <w:rFonts w:hint="eastAsia"/>
          <w:sz w:val="28"/>
          <w:szCs w:val="28"/>
        </w:rPr>
        <w:t>水平仍远低于</w:t>
      </w:r>
      <w:r w:rsidRPr="002B1831">
        <w:rPr>
          <w:sz w:val="28"/>
          <w:szCs w:val="28"/>
        </w:rPr>
        <w:t>行业</w:t>
      </w:r>
      <w:r w:rsidRPr="002B1831">
        <w:rPr>
          <w:rFonts w:hint="eastAsia"/>
          <w:sz w:val="28"/>
          <w:szCs w:val="28"/>
        </w:rPr>
        <w:t>，且</w:t>
      </w:r>
      <w:r w:rsidRPr="002B1831">
        <w:rPr>
          <w:sz w:val="28"/>
          <w:szCs w:val="28"/>
        </w:rPr>
        <w:t>资本型业务的稳健经营水平仍待进一步提升。</w:t>
      </w:r>
    </w:p>
    <w:p w:rsidR="00260770" w:rsidRPr="002B1831" w:rsidRDefault="00260770" w:rsidP="0088500B">
      <w:pPr>
        <w:pStyle w:val="2"/>
        <w:tabs>
          <w:tab w:val="num" w:pos="900"/>
        </w:tabs>
        <w:spacing w:beforeLines="50" w:line="240" w:lineRule="auto"/>
        <w:ind w:firstLineChars="200" w:firstLine="560"/>
        <w:rPr>
          <w:sz w:val="28"/>
          <w:szCs w:val="28"/>
        </w:rPr>
      </w:pPr>
      <w:r w:rsidRPr="002B1831">
        <w:rPr>
          <w:rFonts w:hint="eastAsia"/>
          <w:sz w:val="28"/>
          <w:szCs w:val="28"/>
        </w:rPr>
        <w:t>在</w:t>
      </w:r>
      <w:r w:rsidRPr="002B1831">
        <w:rPr>
          <w:sz w:val="28"/>
          <w:szCs w:val="28"/>
        </w:rPr>
        <w:t>行业发展前景</w:t>
      </w:r>
      <w:r w:rsidRPr="002B1831">
        <w:rPr>
          <w:rFonts w:hint="eastAsia"/>
          <w:sz w:val="28"/>
          <w:szCs w:val="28"/>
        </w:rPr>
        <w:t>向好</w:t>
      </w:r>
      <w:r w:rsidRPr="002B1831">
        <w:rPr>
          <w:sz w:val="28"/>
          <w:szCs w:val="28"/>
        </w:rPr>
        <w:t>，</w:t>
      </w:r>
      <w:r w:rsidRPr="002B1831">
        <w:rPr>
          <w:rFonts w:hint="eastAsia"/>
          <w:sz w:val="28"/>
          <w:szCs w:val="28"/>
        </w:rPr>
        <w:t>广州证券</w:t>
      </w:r>
      <w:r w:rsidRPr="002B1831">
        <w:rPr>
          <w:sz w:val="28"/>
          <w:szCs w:val="28"/>
        </w:rPr>
        <w:t>发展战略清晰的情况下，对</w:t>
      </w:r>
      <w:r w:rsidRPr="002B1831">
        <w:rPr>
          <w:rFonts w:hint="eastAsia"/>
          <w:sz w:val="28"/>
          <w:szCs w:val="28"/>
        </w:rPr>
        <w:t>广州证券</w:t>
      </w:r>
      <w:r w:rsidRPr="002B1831">
        <w:rPr>
          <w:sz w:val="28"/>
          <w:szCs w:val="28"/>
        </w:rPr>
        <w:t>进行增资扩股</w:t>
      </w:r>
      <w:r w:rsidRPr="002B1831">
        <w:rPr>
          <w:rFonts w:hint="eastAsia"/>
          <w:sz w:val="28"/>
          <w:szCs w:val="28"/>
        </w:rPr>
        <w:t>旨在促进该公司顺应</w:t>
      </w:r>
      <w:r w:rsidRPr="002B1831">
        <w:rPr>
          <w:sz w:val="28"/>
          <w:szCs w:val="28"/>
        </w:rPr>
        <w:t>行业转型发展趋势</w:t>
      </w:r>
      <w:r w:rsidRPr="002B1831">
        <w:rPr>
          <w:rFonts w:hint="eastAsia"/>
          <w:sz w:val="28"/>
          <w:szCs w:val="28"/>
        </w:rPr>
        <w:t>，提升</w:t>
      </w:r>
      <w:r w:rsidRPr="002B1831">
        <w:rPr>
          <w:sz w:val="28"/>
          <w:szCs w:val="28"/>
        </w:rPr>
        <w:t>客户服务能力，大力发展资本中介业务</w:t>
      </w:r>
      <w:r w:rsidRPr="002B1831">
        <w:rPr>
          <w:rFonts w:hint="eastAsia"/>
          <w:sz w:val="28"/>
          <w:szCs w:val="28"/>
        </w:rPr>
        <w:t>，打造</w:t>
      </w:r>
      <w:proofErr w:type="gramStart"/>
      <w:r w:rsidRPr="002B1831">
        <w:rPr>
          <w:rFonts w:hint="eastAsia"/>
          <w:sz w:val="28"/>
          <w:szCs w:val="28"/>
        </w:rPr>
        <w:t>投融一体大固收</w:t>
      </w:r>
      <w:proofErr w:type="gramEnd"/>
      <w:r w:rsidRPr="002B1831">
        <w:rPr>
          <w:rFonts w:hint="eastAsia"/>
          <w:sz w:val="28"/>
          <w:szCs w:val="28"/>
        </w:rPr>
        <w:t>业务。</w:t>
      </w:r>
    </w:p>
    <w:p w:rsidR="00DF552D" w:rsidRPr="002B1831" w:rsidRDefault="00DF552D" w:rsidP="0088500B">
      <w:pPr>
        <w:pStyle w:val="2"/>
        <w:tabs>
          <w:tab w:val="num" w:pos="900"/>
        </w:tabs>
        <w:spacing w:beforeLines="50" w:line="240" w:lineRule="auto"/>
        <w:ind w:firstLineChars="200" w:firstLine="560"/>
        <w:rPr>
          <w:rFonts w:hAnsi="宋体"/>
          <w:sz w:val="28"/>
          <w:szCs w:val="28"/>
        </w:rPr>
      </w:pPr>
      <w:r w:rsidRPr="002B1831">
        <w:rPr>
          <w:rFonts w:hAnsi="宋体" w:hint="eastAsia"/>
          <w:sz w:val="28"/>
          <w:szCs w:val="28"/>
        </w:rPr>
        <w:t>（二）存在风险</w:t>
      </w:r>
    </w:p>
    <w:p w:rsidR="00DF552D" w:rsidRPr="002B1831" w:rsidRDefault="002B1831" w:rsidP="0088500B">
      <w:pPr>
        <w:pStyle w:val="2"/>
        <w:tabs>
          <w:tab w:val="num" w:pos="900"/>
        </w:tabs>
        <w:spacing w:beforeLines="50" w:line="240" w:lineRule="auto"/>
        <w:ind w:firstLineChars="200" w:firstLine="560"/>
        <w:rPr>
          <w:sz w:val="28"/>
          <w:szCs w:val="28"/>
        </w:rPr>
      </w:pPr>
      <w:r w:rsidRPr="002B1831">
        <w:rPr>
          <w:rFonts w:hAnsi="宋体" w:hint="eastAsia"/>
          <w:sz w:val="28"/>
          <w:szCs w:val="28"/>
        </w:rPr>
        <w:t>由于</w:t>
      </w:r>
      <w:r w:rsidRPr="002B1831">
        <w:rPr>
          <w:rFonts w:hint="eastAsia"/>
          <w:bCs/>
          <w:sz w:val="28"/>
          <w:szCs w:val="28"/>
        </w:rPr>
        <w:t>广州证券</w:t>
      </w:r>
      <w:r w:rsidRPr="002B1831">
        <w:rPr>
          <w:rFonts w:hAnsi="宋体" w:hint="eastAsia"/>
          <w:sz w:val="28"/>
          <w:szCs w:val="28"/>
        </w:rPr>
        <w:t>本次</w:t>
      </w:r>
      <w:r w:rsidRPr="002B1831">
        <w:rPr>
          <w:rFonts w:hint="eastAsia"/>
          <w:sz w:val="28"/>
          <w:szCs w:val="28"/>
        </w:rPr>
        <w:t>增资扩股</w:t>
      </w:r>
      <w:r w:rsidRPr="002B1831">
        <w:rPr>
          <w:rFonts w:hAnsi="宋体" w:hint="eastAsia"/>
          <w:sz w:val="28"/>
          <w:szCs w:val="28"/>
        </w:rPr>
        <w:t>需经</w:t>
      </w:r>
      <w:r w:rsidR="004D5468">
        <w:rPr>
          <w:rFonts w:hint="eastAsia"/>
          <w:sz w:val="28"/>
          <w:szCs w:val="28"/>
        </w:rPr>
        <w:t>相关有权部门</w:t>
      </w:r>
      <w:r w:rsidRPr="002B1831">
        <w:rPr>
          <w:rFonts w:hint="eastAsia"/>
          <w:sz w:val="28"/>
          <w:szCs w:val="28"/>
        </w:rPr>
        <w:t>行政许可后</w:t>
      </w:r>
      <w:r w:rsidR="00C6589F">
        <w:rPr>
          <w:rFonts w:hint="eastAsia"/>
          <w:sz w:val="28"/>
          <w:szCs w:val="28"/>
        </w:rPr>
        <w:t>方可</w:t>
      </w:r>
      <w:r w:rsidRPr="002B1831">
        <w:rPr>
          <w:rFonts w:hint="eastAsia"/>
          <w:sz w:val="28"/>
          <w:szCs w:val="28"/>
        </w:rPr>
        <w:t>实施</w:t>
      </w:r>
      <w:r w:rsidRPr="002B1831">
        <w:rPr>
          <w:rFonts w:hAnsi="宋体" w:hint="eastAsia"/>
          <w:sz w:val="28"/>
          <w:szCs w:val="28"/>
        </w:rPr>
        <w:t>，本次</w:t>
      </w:r>
      <w:r w:rsidRPr="002B1831">
        <w:rPr>
          <w:rFonts w:hint="eastAsia"/>
          <w:sz w:val="28"/>
          <w:szCs w:val="28"/>
        </w:rPr>
        <w:t>增资扩股</w:t>
      </w:r>
      <w:r w:rsidRPr="002B1831">
        <w:rPr>
          <w:rFonts w:hAnsi="宋体" w:hint="eastAsia"/>
          <w:sz w:val="28"/>
          <w:szCs w:val="28"/>
        </w:rPr>
        <w:t>工作能否完成存在各有权机关是否批准通过的不确定性。此外，证券行业存在市场风险、竞争风险。</w:t>
      </w:r>
    </w:p>
    <w:p w:rsidR="002C4024" w:rsidRPr="002B1831" w:rsidRDefault="00DF552D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（三）对公司的影响</w:t>
      </w:r>
    </w:p>
    <w:p w:rsidR="002B1831" w:rsidRPr="002B1831" w:rsidRDefault="002B1831" w:rsidP="0088500B">
      <w:pPr>
        <w:tabs>
          <w:tab w:val="num" w:pos="900"/>
        </w:tabs>
        <w:spacing w:beforeLines="50"/>
        <w:ind w:firstLineChars="200" w:firstLine="560"/>
        <w:rPr>
          <w:rFonts w:ascii="仿宋_GB2312" w:eastAsia="仿宋_GB2312"/>
          <w:b/>
          <w:szCs w:val="28"/>
        </w:rPr>
      </w:pPr>
      <w:r w:rsidRPr="002B1831">
        <w:rPr>
          <w:rFonts w:ascii="仿宋_GB2312" w:eastAsia="仿宋_GB2312" w:hint="eastAsia"/>
          <w:szCs w:val="28"/>
        </w:rPr>
        <w:lastRenderedPageBreak/>
        <w:t>广州证券本次</w:t>
      </w:r>
      <w:r w:rsidRPr="002B1831">
        <w:rPr>
          <w:rFonts w:ascii="仿宋_GB2312" w:eastAsia="仿宋_GB2312"/>
          <w:szCs w:val="28"/>
        </w:rPr>
        <w:t>增资扩股</w:t>
      </w:r>
      <w:r w:rsidRPr="002B1831">
        <w:rPr>
          <w:rFonts w:ascii="仿宋_GB2312" w:eastAsia="仿宋_GB2312" w:hint="eastAsia"/>
          <w:szCs w:val="28"/>
        </w:rPr>
        <w:t>40亿元将</w:t>
      </w:r>
      <w:r w:rsidRPr="002B1831">
        <w:rPr>
          <w:rFonts w:ascii="仿宋_GB2312" w:eastAsia="仿宋_GB2312"/>
          <w:szCs w:val="28"/>
        </w:rPr>
        <w:t>有效提升</w:t>
      </w:r>
      <w:r w:rsidRPr="002B1831">
        <w:rPr>
          <w:rFonts w:ascii="仿宋_GB2312" w:eastAsia="仿宋_GB2312" w:hint="eastAsia"/>
          <w:szCs w:val="28"/>
        </w:rPr>
        <w:t>该</w:t>
      </w:r>
      <w:r w:rsidRPr="002B1831">
        <w:rPr>
          <w:rFonts w:ascii="仿宋_GB2312" w:eastAsia="仿宋_GB2312"/>
          <w:szCs w:val="28"/>
        </w:rPr>
        <w:t>公司资本实力</w:t>
      </w:r>
      <w:r w:rsidRPr="002B1831">
        <w:rPr>
          <w:rFonts w:ascii="仿宋_GB2312" w:eastAsia="仿宋_GB2312" w:hint="eastAsia"/>
          <w:szCs w:val="28"/>
        </w:rPr>
        <w:t>、增强该公司盈利能力，对达成该公司十三五</w:t>
      </w:r>
      <w:r w:rsidRPr="002B1831">
        <w:rPr>
          <w:rFonts w:ascii="仿宋_GB2312" w:eastAsia="仿宋_GB2312"/>
          <w:szCs w:val="28"/>
        </w:rPr>
        <w:t>规划</w:t>
      </w:r>
      <w:r w:rsidRPr="002B1831">
        <w:rPr>
          <w:rFonts w:ascii="仿宋_GB2312" w:eastAsia="仿宋_GB2312" w:hint="eastAsia"/>
          <w:szCs w:val="28"/>
        </w:rPr>
        <w:t>战略目标具有重大</w:t>
      </w:r>
      <w:r w:rsidRPr="002B1831">
        <w:rPr>
          <w:rFonts w:ascii="仿宋_GB2312" w:eastAsia="仿宋_GB2312"/>
          <w:szCs w:val="28"/>
        </w:rPr>
        <w:t>意义。</w:t>
      </w:r>
      <w:r w:rsidRPr="002B1831">
        <w:rPr>
          <w:rFonts w:ascii="仿宋_GB2312" w:eastAsia="仿宋_GB2312" w:hint="eastAsia"/>
          <w:szCs w:val="28"/>
        </w:rPr>
        <w:t>有利于公司分享广州证券发展的成果，为公司未来发展提供新的利润来源，将对公司产生积极影响。</w:t>
      </w:r>
    </w:p>
    <w:p w:rsidR="002C4024" w:rsidRPr="002B1831" w:rsidRDefault="006F6A79" w:rsidP="0088500B">
      <w:pPr>
        <w:tabs>
          <w:tab w:val="num" w:pos="900"/>
        </w:tabs>
        <w:spacing w:beforeLines="50"/>
        <w:rPr>
          <w:rFonts w:ascii="仿宋_GB2312" w:eastAsia="仿宋_GB2312"/>
          <w:b/>
          <w:szCs w:val="28"/>
        </w:rPr>
      </w:pPr>
      <w:r>
        <w:rPr>
          <w:rFonts w:ascii="仿宋_GB2312" w:eastAsia="仿宋_GB2312" w:hint="eastAsia"/>
          <w:b/>
          <w:szCs w:val="28"/>
        </w:rPr>
        <w:t>五</w:t>
      </w:r>
      <w:r w:rsidR="002C4024" w:rsidRPr="002B1831">
        <w:rPr>
          <w:rFonts w:ascii="仿宋_GB2312" w:eastAsia="仿宋_GB2312" w:hint="eastAsia"/>
          <w:b/>
          <w:szCs w:val="28"/>
        </w:rPr>
        <w:t>、</w:t>
      </w:r>
      <w:r w:rsidR="00DF552D" w:rsidRPr="002B1831">
        <w:rPr>
          <w:rFonts w:ascii="仿宋_GB2312" w:eastAsia="仿宋_GB2312" w:hint="eastAsia"/>
          <w:b/>
          <w:szCs w:val="28"/>
        </w:rPr>
        <w:t>备查文件</w:t>
      </w:r>
    </w:p>
    <w:p w:rsidR="00DF552D" w:rsidRPr="002B1831" w:rsidRDefault="00DF552D" w:rsidP="0088500B">
      <w:pPr>
        <w:tabs>
          <w:tab w:val="num" w:pos="900"/>
        </w:tabs>
        <w:spacing w:beforeLines="50"/>
        <w:rPr>
          <w:rFonts w:ascii="仿宋_GB2312" w:eastAsia="仿宋_GB2312"/>
          <w:szCs w:val="28"/>
        </w:rPr>
      </w:pPr>
      <w:r w:rsidRPr="002B1831">
        <w:rPr>
          <w:rFonts w:ascii="仿宋_GB2312" w:eastAsia="仿宋_GB2312" w:hint="eastAsia"/>
          <w:szCs w:val="28"/>
        </w:rPr>
        <w:t>广州恒运企业集团股份有限公司第八届董事会第六次会议决议</w:t>
      </w:r>
    </w:p>
    <w:p w:rsidR="002C4024" w:rsidRPr="00DF552D" w:rsidRDefault="002C4024" w:rsidP="002C4024">
      <w:pPr>
        <w:ind w:left="4253"/>
        <w:rPr>
          <w:rFonts w:ascii="仿宋_GB2312" w:eastAsia="仿宋_GB2312" w:hAnsi="Lucida Console"/>
          <w:szCs w:val="28"/>
        </w:rPr>
      </w:pPr>
    </w:p>
    <w:p w:rsidR="002C4024" w:rsidRPr="002C4024" w:rsidRDefault="002C4024" w:rsidP="002C4024">
      <w:pPr>
        <w:ind w:left="4253"/>
        <w:rPr>
          <w:rFonts w:ascii="仿宋_GB2312" w:eastAsia="仿宋_GB2312" w:hAnsi="Lucida Console"/>
          <w:szCs w:val="28"/>
        </w:rPr>
      </w:pPr>
    </w:p>
    <w:p w:rsidR="002C4024" w:rsidRPr="002C4024" w:rsidRDefault="00DF552D" w:rsidP="00DF552D">
      <w:pPr>
        <w:spacing w:line="360" w:lineRule="auto"/>
        <w:jc w:val="right"/>
        <w:rPr>
          <w:rFonts w:ascii="仿宋_GB2312" w:eastAsia="仿宋_GB2312" w:hAnsi="Lucida Console"/>
          <w:szCs w:val="28"/>
        </w:rPr>
      </w:pPr>
      <w:r>
        <w:rPr>
          <w:rFonts w:ascii="仿宋_GB2312" w:eastAsia="仿宋_GB2312" w:hAnsi="Lucida Console" w:hint="eastAsia"/>
          <w:szCs w:val="28"/>
        </w:rPr>
        <w:t>广州恒运企业集团股份有限公司</w:t>
      </w:r>
      <w:r w:rsidR="002C4024" w:rsidRPr="002C4024">
        <w:rPr>
          <w:rFonts w:ascii="仿宋_GB2312" w:eastAsia="仿宋_GB2312" w:hAnsi="Lucida Console" w:hint="eastAsia"/>
          <w:szCs w:val="28"/>
        </w:rPr>
        <w:t>董事会</w:t>
      </w:r>
    </w:p>
    <w:p w:rsidR="002C4024" w:rsidRPr="002C4024" w:rsidRDefault="005358CD" w:rsidP="005358CD">
      <w:pPr>
        <w:spacing w:line="360" w:lineRule="auto"/>
        <w:ind w:firstLineChars="1500" w:firstLine="4200"/>
        <w:rPr>
          <w:rFonts w:ascii="仿宋_GB2312" w:eastAsia="仿宋_GB2312" w:hAnsi="Lucida Console"/>
          <w:szCs w:val="28"/>
        </w:rPr>
      </w:pPr>
      <w:r w:rsidRPr="00AA4610">
        <w:rPr>
          <w:rFonts w:ascii="仿宋_GB2312" w:eastAsia="仿宋_GB2312" w:hint="eastAsia"/>
          <w:szCs w:val="28"/>
        </w:rPr>
        <w:t xml:space="preserve"> 二○一</w:t>
      </w:r>
      <w:r>
        <w:rPr>
          <w:rFonts w:ascii="仿宋_GB2312" w:eastAsia="仿宋_GB2312" w:hint="eastAsia"/>
          <w:szCs w:val="28"/>
        </w:rPr>
        <w:t>五</w:t>
      </w:r>
      <w:r w:rsidRPr="00AA4610">
        <w:rPr>
          <w:rFonts w:ascii="仿宋_GB2312" w:eastAsia="仿宋_GB2312" w:hint="eastAsia"/>
          <w:szCs w:val="28"/>
        </w:rPr>
        <w:t>年</w:t>
      </w:r>
      <w:r>
        <w:rPr>
          <w:rFonts w:ascii="仿宋_GB2312" w:eastAsia="仿宋_GB2312" w:hint="eastAsia"/>
          <w:szCs w:val="28"/>
        </w:rPr>
        <w:t>十二</w:t>
      </w:r>
      <w:r w:rsidRPr="00AA4610">
        <w:rPr>
          <w:rFonts w:ascii="仿宋_GB2312" w:eastAsia="仿宋_GB2312" w:hint="eastAsia"/>
          <w:szCs w:val="28"/>
        </w:rPr>
        <w:t>月</w:t>
      </w:r>
      <w:r>
        <w:rPr>
          <w:rFonts w:ascii="仿宋_GB2312" w:eastAsia="仿宋_GB2312" w:hint="eastAsia"/>
          <w:szCs w:val="28"/>
        </w:rPr>
        <w:t>二十三</w:t>
      </w:r>
      <w:r w:rsidRPr="00AA4610">
        <w:rPr>
          <w:rFonts w:ascii="仿宋_GB2312" w:eastAsia="仿宋_GB2312" w:hint="eastAsia"/>
          <w:szCs w:val="28"/>
        </w:rPr>
        <w:t>日</w:t>
      </w:r>
    </w:p>
    <w:sectPr w:rsidR="002C4024" w:rsidRPr="002C4024" w:rsidSect="00285A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024" w:rsidRDefault="002C4024" w:rsidP="002C4024">
      <w:r>
        <w:separator/>
      </w:r>
    </w:p>
  </w:endnote>
  <w:endnote w:type="continuationSeparator" w:id="1">
    <w:p w:rsidR="002C4024" w:rsidRDefault="002C4024" w:rsidP="002C4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024" w:rsidRDefault="002C4024" w:rsidP="002C4024">
      <w:r>
        <w:separator/>
      </w:r>
    </w:p>
  </w:footnote>
  <w:footnote w:type="continuationSeparator" w:id="1">
    <w:p w:rsidR="002C4024" w:rsidRDefault="002C4024" w:rsidP="002C4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4024"/>
    <w:rsid w:val="0004150D"/>
    <w:rsid w:val="00062252"/>
    <w:rsid w:val="00135CC9"/>
    <w:rsid w:val="001C34A1"/>
    <w:rsid w:val="002366E4"/>
    <w:rsid w:val="00260770"/>
    <w:rsid w:val="00285A9F"/>
    <w:rsid w:val="002B1831"/>
    <w:rsid w:val="002C4024"/>
    <w:rsid w:val="002F05F3"/>
    <w:rsid w:val="00366617"/>
    <w:rsid w:val="00385B81"/>
    <w:rsid w:val="00412030"/>
    <w:rsid w:val="00434C18"/>
    <w:rsid w:val="00486B38"/>
    <w:rsid w:val="004D5468"/>
    <w:rsid w:val="00514DA7"/>
    <w:rsid w:val="005358CD"/>
    <w:rsid w:val="005537EE"/>
    <w:rsid w:val="005E04AD"/>
    <w:rsid w:val="005E12AE"/>
    <w:rsid w:val="006F6A79"/>
    <w:rsid w:val="00705E5A"/>
    <w:rsid w:val="0079704C"/>
    <w:rsid w:val="007F16F0"/>
    <w:rsid w:val="008020DA"/>
    <w:rsid w:val="00816F76"/>
    <w:rsid w:val="0088500B"/>
    <w:rsid w:val="00892C88"/>
    <w:rsid w:val="00A5320D"/>
    <w:rsid w:val="00A57568"/>
    <w:rsid w:val="00AB4E5A"/>
    <w:rsid w:val="00AE0330"/>
    <w:rsid w:val="00B65947"/>
    <w:rsid w:val="00BC5849"/>
    <w:rsid w:val="00BC7BAD"/>
    <w:rsid w:val="00C6589F"/>
    <w:rsid w:val="00C77275"/>
    <w:rsid w:val="00D32261"/>
    <w:rsid w:val="00D42BD3"/>
    <w:rsid w:val="00DE7B4C"/>
    <w:rsid w:val="00DF552D"/>
    <w:rsid w:val="00E23075"/>
    <w:rsid w:val="00E50BA1"/>
    <w:rsid w:val="00ED38A4"/>
    <w:rsid w:val="00FC3CF5"/>
    <w:rsid w:val="00FF0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024"/>
    <w:pPr>
      <w:widowControl w:val="0"/>
      <w:jc w:val="both"/>
    </w:pPr>
    <w:rPr>
      <w:rFonts w:ascii="宋体" w:eastAsia="宋体" w:hAnsi="宋体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40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402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40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4024"/>
    <w:rPr>
      <w:sz w:val="18"/>
      <w:szCs w:val="18"/>
    </w:rPr>
  </w:style>
  <w:style w:type="paragraph" w:styleId="a5">
    <w:name w:val="Body Text Indent"/>
    <w:basedOn w:val="a"/>
    <w:link w:val="Char1"/>
    <w:rsid w:val="002C4024"/>
    <w:pPr>
      <w:spacing w:after="120"/>
      <w:ind w:leftChars="200" w:left="200"/>
    </w:pPr>
  </w:style>
  <w:style w:type="character" w:customStyle="1" w:styleId="Char1">
    <w:name w:val="正文文本缩进 Char"/>
    <w:basedOn w:val="a0"/>
    <w:link w:val="a5"/>
    <w:rsid w:val="002C4024"/>
    <w:rPr>
      <w:rFonts w:ascii="宋体" w:eastAsia="宋体" w:hAnsi="宋体" w:cs="Times New Roman"/>
      <w:sz w:val="28"/>
      <w:szCs w:val="24"/>
    </w:rPr>
  </w:style>
  <w:style w:type="paragraph" w:styleId="2">
    <w:name w:val="Body Text Indent 2"/>
    <w:basedOn w:val="a"/>
    <w:link w:val="2Char"/>
    <w:rsid w:val="002C4024"/>
    <w:pPr>
      <w:spacing w:line="600" w:lineRule="exact"/>
      <w:ind w:firstLine="646"/>
    </w:pPr>
    <w:rPr>
      <w:rFonts w:ascii="仿宋_GB2312" w:eastAsia="仿宋_GB2312" w:hAnsi="Times New Roman"/>
      <w:sz w:val="32"/>
      <w:szCs w:val="20"/>
    </w:rPr>
  </w:style>
  <w:style w:type="character" w:customStyle="1" w:styleId="2Char">
    <w:name w:val="正文文本缩进 2 Char"/>
    <w:basedOn w:val="a0"/>
    <w:link w:val="2"/>
    <w:rsid w:val="002C4024"/>
    <w:rPr>
      <w:rFonts w:ascii="仿宋_GB2312" w:eastAsia="仿宋_GB2312" w:hAnsi="Times New Roman" w:cs="Times New Roman"/>
      <w:sz w:val="32"/>
      <w:szCs w:val="20"/>
    </w:rPr>
  </w:style>
  <w:style w:type="paragraph" w:styleId="3">
    <w:name w:val="Body Text Indent 3"/>
    <w:basedOn w:val="a"/>
    <w:link w:val="3Char"/>
    <w:rsid w:val="002C4024"/>
    <w:pPr>
      <w:spacing w:after="120"/>
      <w:ind w:leftChars="200" w:left="200"/>
    </w:pPr>
    <w:rPr>
      <w:sz w:val="16"/>
      <w:szCs w:val="16"/>
    </w:rPr>
  </w:style>
  <w:style w:type="character" w:customStyle="1" w:styleId="3Char">
    <w:name w:val="正文文本缩进 3 Char"/>
    <w:basedOn w:val="a0"/>
    <w:link w:val="3"/>
    <w:rsid w:val="002C4024"/>
    <w:rPr>
      <w:rFonts w:ascii="宋体" w:eastAsia="宋体" w:hAnsi="宋体" w:cs="Times New Roman"/>
      <w:sz w:val="16"/>
      <w:szCs w:val="16"/>
    </w:rPr>
  </w:style>
  <w:style w:type="paragraph" w:customStyle="1" w:styleId="CharCharCharChar">
    <w:name w:val="Char Char Char Char"/>
    <w:basedOn w:val="a"/>
    <w:rsid w:val="002C4024"/>
    <w:pPr>
      <w:spacing w:line="360" w:lineRule="auto"/>
    </w:pPr>
    <w:rPr>
      <w:rFonts w:ascii="Tahoma" w:hAnsi="Tahoma"/>
      <w:sz w:val="24"/>
      <w:szCs w:val="20"/>
    </w:rPr>
  </w:style>
  <w:style w:type="paragraph" w:styleId="a6">
    <w:name w:val="No Spacing"/>
    <w:uiPriority w:val="1"/>
    <w:qFormat/>
    <w:rsid w:val="00434C18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customStyle="1" w:styleId="dsh-">
    <w:name w:val="dsh-节"/>
    <w:basedOn w:val="a"/>
    <w:link w:val="dsh-Char"/>
    <w:qFormat/>
    <w:rsid w:val="00434C18"/>
    <w:pPr>
      <w:spacing w:beforeLines="50" w:afterLines="50" w:line="560" w:lineRule="exact"/>
      <w:ind w:firstLineChars="200" w:firstLine="200"/>
      <w:outlineLvl w:val="1"/>
    </w:pPr>
    <w:rPr>
      <w:rFonts w:ascii="黑体" w:eastAsia="仿宋_GB2312" w:hAnsi="黑体"/>
      <w:b/>
      <w:sz w:val="32"/>
      <w:szCs w:val="32"/>
    </w:rPr>
  </w:style>
  <w:style w:type="character" w:customStyle="1" w:styleId="dsh-Char">
    <w:name w:val="dsh-节 Char"/>
    <w:link w:val="dsh-"/>
    <w:rsid w:val="00434C18"/>
    <w:rPr>
      <w:rFonts w:ascii="黑体" w:eastAsia="仿宋_GB2312" w:hAnsi="黑体" w:cs="Times New Roman"/>
      <w:b/>
      <w:sz w:val="32"/>
      <w:szCs w:val="32"/>
    </w:rPr>
  </w:style>
  <w:style w:type="paragraph" w:customStyle="1" w:styleId="CharCharCharChar0">
    <w:name w:val="Char Char Char Char"/>
    <w:basedOn w:val="a"/>
    <w:rsid w:val="006F6A79"/>
    <w:pPr>
      <w:spacing w:line="360" w:lineRule="auto"/>
    </w:pPr>
    <w:rPr>
      <w:rFonts w:ascii="Tahoma" w:hAnsi="Tahom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廖铁强</dc:creator>
  <cp:keywords/>
  <dc:description/>
  <cp:lastModifiedBy>廖铁强</cp:lastModifiedBy>
  <cp:revision>28</cp:revision>
  <cp:lastPrinted>2015-12-16T00:49:00Z</cp:lastPrinted>
  <dcterms:created xsi:type="dcterms:W3CDTF">2015-12-07T00:38:00Z</dcterms:created>
  <dcterms:modified xsi:type="dcterms:W3CDTF">2015-12-21T07:44:00Z</dcterms:modified>
</cp:coreProperties>
</file>