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240"/>
        </w:tabs>
        <w:spacing w:line="560" w:lineRule="exact"/>
        <w:rPr>
          <w:rFonts w:ascii="华文仿宋" w:hAnsi="华文仿宋" w:eastAsia="华文仿宋"/>
          <w:sz w:val="24"/>
        </w:rPr>
      </w:pPr>
      <w:r>
        <w:rPr>
          <w:rFonts w:hint="eastAsia" w:ascii="华文仿宋" w:hAnsi="华文仿宋" w:eastAsia="华文仿宋"/>
          <w:sz w:val="24"/>
        </w:rPr>
        <w:t>证券代码：</w:t>
      </w:r>
      <w:r>
        <w:rPr>
          <w:rFonts w:ascii="华文仿宋" w:hAnsi="华文仿宋" w:eastAsia="华文仿宋"/>
          <w:sz w:val="24"/>
        </w:rPr>
        <w:t xml:space="preserve">000531 </w:t>
      </w:r>
      <w:r>
        <w:rPr>
          <w:rFonts w:hint="eastAsia" w:ascii="华文仿宋" w:hAnsi="华文仿宋" w:eastAsia="华文仿宋"/>
          <w:sz w:val="24"/>
        </w:rPr>
        <w:t xml:space="preserve">        </w:t>
      </w:r>
      <w:r>
        <w:rPr>
          <w:rFonts w:ascii="华文仿宋" w:hAnsi="华文仿宋" w:eastAsia="华文仿宋"/>
          <w:sz w:val="24"/>
        </w:rPr>
        <w:t>证券简称：穗恒运 A</w:t>
      </w:r>
      <w:r>
        <w:rPr>
          <w:rFonts w:hint="eastAsia" w:ascii="华文仿宋" w:hAnsi="华文仿宋" w:eastAsia="华文仿宋"/>
          <w:sz w:val="24"/>
        </w:rPr>
        <w:t xml:space="preserve">       </w:t>
      </w:r>
      <w:r>
        <w:rPr>
          <w:rFonts w:ascii="华文仿宋" w:hAnsi="华文仿宋" w:eastAsia="华文仿宋"/>
          <w:sz w:val="24"/>
        </w:rPr>
        <w:t xml:space="preserve"> 公告编号：202</w:t>
      </w:r>
      <w:r>
        <w:rPr>
          <w:rFonts w:hint="eastAsia" w:ascii="华文仿宋" w:hAnsi="华文仿宋" w:eastAsia="华文仿宋"/>
          <w:sz w:val="24"/>
        </w:rPr>
        <w:t>2</w:t>
      </w:r>
      <w:r>
        <w:rPr>
          <w:rFonts w:ascii="华文仿宋" w:hAnsi="华文仿宋" w:eastAsia="华文仿宋"/>
          <w:sz w:val="24"/>
        </w:rPr>
        <w:t>-002</w:t>
      </w:r>
    </w:p>
    <w:p>
      <w:pPr>
        <w:tabs>
          <w:tab w:val="left" w:pos="3240"/>
        </w:tabs>
        <w:spacing w:line="560" w:lineRule="exact"/>
        <w:jc w:val="center"/>
        <w:rPr>
          <w:rFonts w:ascii="华文仿宋" w:hAnsi="华文仿宋" w:eastAsia="华文仿宋"/>
          <w:b/>
          <w:sz w:val="24"/>
        </w:rPr>
      </w:pPr>
    </w:p>
    <w:p>
      <w:pPr>
        <w:tabs>
          <w:tab w:val="left" w:pos="3240"/>
        </w:tabs>
        <w:spacing w:line="560" w:lineRule="exact"/>
        <w:jc w:val="center"/>
        <w:rPr>
          <w:rFonts w:ascii="黑体" w:hAnsi="黑体" w:eastAsia="黑体"/>
          <w:b/>
          <w:sz w:val="32"/>
          <w:szCs w:val="32"/>
        </w:rPr>
      </w:pPr>
      <w:r>
        <w:rPr>
          <w:rFonts w:hint="eastAsia" w:ascii="黑体" w:hAnsi="黑体" w:eastAsia="黑体"/>
          <w:b/>
          <w:sz w:val="32"/>
          <w:szCs w:val="32"/>
        </w:rPr>
        <w:t>广州恒运企业集团股份股份有限公司</w:t>
      </w:r>
      <w:bookmarkStart w:id="0" w:name="_GoBack"/>
      <w:bookmarkEnd w:id="0"/>
      <w:r>
        <w:rPr>
          <w:rFonts w:hint="eastAsia" w:ascii="黑体" w:hAnsi="黑体" w:eastAsia="黑体"/>
          <w:b/>
          <w:sz w:val="32"/>
          <w:szCs w:val="32"/>
        </w:rPr>
        <w:t>2021年度业绩预告</w:t>
      </w:r>
    </w:p>
    <w:p>
      <w:pPr>
        <w:tabs>
          <w:tab w:val="left" w:pos="3240"/>
        </w:tabs>
        <w:spacing w:line="560" w:lineRule="exact"/>
        <w:ind w:firstLine="525" w:firstLineChars="250"/>
        <w:rPr>
          <w:rFonts w:ascii="仿宋" w:hAnsi="仿宋" w:eastAsia="仿宋"/>
          <w:sz w:val="32"/>
          <w:szCs w:val="32"/>
        </w:rPr>
      </w:pPr>
      <w:r>
        <w:rPr>
          <w:rFonts w:ascii="仿宋" w:hAnsi="仿宋" w:eastAsia="仿宋"/>
        </w:rPr>
        <mc:AlternateContent>
          <mc:Choice Requires="wps">
            <w:drawing>
              <wp:anchor distT="0" distB="0" distL="114300" distR="114300" simplePos="0" relativeHeight="251659264" behindDoc="0" locked="0" layoutInCell="1" allowOverlap="1">
                <wp:simplePos x="0" y="0"/>
                <wp:positionH relativeFrom="column">
                  <wp:posOffset>36195</wp:posOffset>
                </wp:positionH>
                <wp:positionV relativeFrom="paragraph">
                  <wp:posOffset>119380</wp:posOffset>
                </wp:positionV>
                <wp:extent cx="5600700" cy="810260"/>
                <wp:effectExtent l="0" t="0" r="19050" b="27940"/>
                <wp:wrapNone/>
                <wp:docPr id="40" name="Rectangle 23"/>
                <wp:cNvGraphicFramePr/>
                <a:graphic xmlns:a="http://schemas.openxmlformats.org/drawingml/2006/main">
                  <a:graphicData uri="http://schemas.microsoft.com/office/word/2010/wordprocessingShape">
                    <wps:wsp>
                      <wps:cNvSpPr>
                        <a:spLocks noChangeArrowheads="1"/>
                      </wps:cNvSpPr>
                      <wps:spPr bwMode="auto">
                        <a:xfrm>
                          <a:off x="0" y="0"/>
                          <a:ext cx="5600700" cy="810260"/>
                        </a:xfrm>
                        <a:prstGeom prst="rect">
                          <a:avLst/>
                        </a:prstGeom>
                        <a:solidFill>
                          <a:srgbClr val="FFFFFF"/>
                        </a:solidFill>
                        <a:ln w="9525">
                          <a:solidFill>
                            <a:srgbClr val="000000"/>
                          </a:solidFill>
                          <a:miter lim="800000"/>
                        </a:ln>
                      </wps:spPr>
                      <wps:txbx>
                        <w:txbxContent>
                          <w:p>
                            <w:pPr>
                              <w:spacing w:line="44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本公司及董事会全体成员保证信息披露的内容真实、准确、完整，没有虚假记载、误导性陈述或重大遗漏。</w:t>
                            </w:r>
                          </w:p>
                        </w:txbxContent>
                      </wps:txbx>
                      <wps:bodyPr rot="0" vert="horz" wrap="square" lIns="91440" tIns="45720" rIns="91440" bIns="45720" anchor="t" anchorCtr="0" upright="1">
                        <a:noAutofit/>
                      </wps:bodyPr>
                    </wps:wsp>
                  </a:graphicData>
                </a:graphic>
              </wp:anchor>
            </w:drawing>
          </mc:Choice>
          <mc:Fallback>
            <w:pict>
              <v:rect id="Rectangle 23" o:spid="_x0000_s1026" o:spt="1" style="position:absolute;left:0pt;margin-left:2.85pt;margin-top:9.4pt;height:63.8pt;width:441pt;z-index:251659264;mso-width-relative:page;mso-height-relative:page;" fillcolor="#FFFFFF" filled="t" stroked="t" coordsize="21600,21600" o:gfxdata="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opHmH1gAAAAgBAAAPAAAAAAAAAAEAIAAAACIAAABkcnMvZG93bnJldi54bWxQSwEC&#10;FAAUAAAACACHTuJAnUgtES8CAAB/BAAADgAAAAAAAAABACAAAAAlAQAAZHJzL2Uyb0RvYy54bWxQ&#10;SwUGAAAAAAYABgBZAQAAxgUAAAAA&#10;">
                <v:fill on="t" focussize="0,0"/>
                <v:stroke color="#000000" miterlimit="8" joinstyle="miter"/>
                <v:imagedata o:title=""/>
                <o:lock v:ext="edit" aspectratio="f"/>
                <v:textbox>
                  <w:txbxContent>
                    <w:p>
                      <w:pPr>
                        <w:spacing w:line="44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本公司及董事会全体成员保证信息披露的内容真实、准确、完整，没有虚假记载、误导性陈述或重大遗漏。</w:t>
                      </w:r>
                    </w:p>
                  </w:txbxContent>
                </v:textbox>
              </v:rect>
            </w:pict>
          </mc:Fallback>
        </mc:AlternateContent>
      </w:r>
    </w:p>
    <w:p>
      <w:pPr>
        <w:tabs>
          <w:tab w:val="left" w:pos="3240"/>
        </w:tabs>
        <w:spacing w:line="560" w:lineRule="exact"/>
        <w:ind w:firstLine="800" w:firstLineChars="250"/>
        <w:rPr>
          <w:rFonts w:ascii="仿宋" w:hAnsi="仿宋" w:eastAsia="仿宋"/>
          <w:sz w:val="32"/>
          <w:szCs w:val="32"/>
        </w:rPr>
      </w:pPr>
    </w:p>
    <w:p>
      <w:pPr>
        <w:tabs>
          <w:tab w:val="left" w:pos="3240"/>
        </w:tabs>
        <w:spacing w:line="560" w:lineRule="exact"/>
        <w:ind w:firstLine="803" w:firstLineChars="250"/>
        <w:rPr>
          <w:rFonts w:ascii="仿宋" w:hAnsi="仿宋" w:eastAsia="仿宋"/>
          <w:b/>
          <w:sz w:val="32"/>
          <w:szCs w:val="32"/>
        </w:rPr>
      </w:pPr>
    </w:p>
    <w:p>
      <w:pPr>
        <w:tabs>
          <w:tab w:val="left" w:pos="3240"/>
        </w:tabs>
        <w:spacing w:line="560" w:lineRule="exact"/>
        <w:ind w:firstLine="561" w:firstLineChars="200"/>
        <w:rPr>
          <w:rFonts w:ascii="华文仿宋" w:hAnsi="华文仿宋" w:eastAsia="华文仿宋"/>
          <w:b/>
          <w:sz w:val="28"/>
          <w:szCs w:val="28"/>
        </w:rPr>
      </w:pPr>
      <w:r>
        <w:rPr>
          <w:rFonts w:hint="eastAsia" w:ascii="华文仿宋" w:hAnsi="华文仿宋" w:eastAsia="华文仿宋"/>
          <w:b/>
          <w:sz w:val="28"/>
          <w:szCs w:val="28"/>
        </w:rPr>
        <w:t>一、本期业绩预计情况</w:t>
      </w:r>
    </w:p>
    <w:p>
      <w:pPr>
        <w:tabs>
          <w:tab w:val="left" w:pos="3240"/>
        </w:tabs>
        <w:spacing w:line="56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1．业绩预告期间：</w:t>
      </w:r>
      <w:r>
        <w:rPr>
          <w:rFonts w:ascii="华文仿宋" w:hAnsi="华文仿宋" w:eastAsia="华文仿宋"/>
          <w:sz w:val="28"/>
          <w:szCs w:val="28"/>
        </w:rPr>
        <w:t>20</w:t>
      </w:r>
      <w:r>
        <w:rPr>
          <w:rFonts w:hint="eastAsia" w:ascii="华文仿宋" w:hAnsi="华文仿宋" w:eastAsia="华文仿宋"/>
          <w:sz w:val="28"/>
          <w:szCs w:val="28"/>
        </w:rPr>
        <w:t>21</w:t>
      </w:r>
      <w:r>
        <w:rPr>
          <w:rFonts w:ascii="华文仿宋" w:hAnsi="华文仿宋" w:eastAsia="华文仿宋"/>
          <w:sz w:val="28"/>
          <w:szCs w:val="28"/>
        </w:rPr>
        <w:t>年1</w:t>
      </w:r>
      <w:r>
        <w:rPr>
          <w:rFonts w:hint="eastAsia" w:ascii="华文仿宋" w:hAnsi="华文仿宋" w:eastAsia="华文仿宋"/>
          <w:sz w:val="28"/>
          <w:szCs w:val="28"/>
        </w:rPr>
        <w:t>月</w:t>
      </w:r>
      <w:r>
        <w:rPr>
          <w:rFonts w:ascii="华文仿宋" w:hAnsi="华文仿宋" w:eastAsia="华文仿宋"/>
          <w:sz w:val="28"/>
          <w:szCs w:val="28"/>
        </w:rPr>
        <w:t>1</w:t>
      </w:r>
      <w:r>
        <w:rPr>
          <w:rFonts w:hint="eastAsia" w:ascii="华文仿宋" w:hAnsi="华文仿宋" w:eastAsia="华文仿宋"/>
          <w:sz w:val="28"/>
          <w:szCs w:val="28"/>
        </w:rPr>
        <w:t>日</w:t>
      </w:r>
      <w:r>
        <w:rPr>
          <w:rFonts w:ascii="华文仿宋" w:hAnsi="华文仿宋" w:eastAsia="华文仿宋"/>
          <w:sz w:val="28"/>
          <w:szCs w:val="28"/>
        </w:rPr>
        <w:t>—20</w:t>
      </w:r>
      <w:r>
        <w:rPr>
          <w:rFonts w:hint="eastAsia" w:ascii="华文仿宋" w:hAnsi="华文仿宋" w:eastAsia="华文仿宋"/>
          <w:sz w:val="28"/>
          <w:szCs w:val="28"/>
        </w:rPr>
        <w:t>21</w:t>
      </w:r>
      <w:r>
        <w:rPr>
          <w:rFonts w:ascii="华文仿宋" w:hAnsi="华文仿宋" w:eastAsia="华文仿宋"/>
          <w:sz w:val="28"/>
          <w:szCs w:val="28"/>
        </w:rPr>
        <w:t>年</w:t>
      </w:r>
      <w:r>
        <w:rPr>
          <w:rFonts w:hint="eastAsia" w:ascii="华文仿宋" w:hAnsi="华文仿宋" w:eastAsia="华文仿宋"/>
          <w:sz w:val="28"/>
          <w:szCs w:val="28"/>
        </w:rPr>
        <w:t>12月</w:t>
      </w:r>
      <w:r>
        <w:rPr>
          <w:rFonts w:ascii="华文仿宋" w:hAnsi="华文仿宋" w:eastAsia="华文仿宋"/>
          <w:sz w:val="28"/>
          <w:szCs w:val="28"/>
        </w:rPr>
        <w:t>3</w:t>
      </w:r>
      <w:r>
        <w:rPr>
          <w:rFonts w:hint="eastAsia" w:ascii="华文仿宋" w:hAnsi="华文仿宋" w:eastAsia="华文仿宋"/>
          <w:sz w:val="28"/>
          <w:szCs w:val="28"/>
        </w:rPr>
        <w:t>1日</w:t>
      </w:r>
    </w:p>
    <w:p>
      <w:pPr>
        <w:tabs>
          <w:tab w:val="left" w:pos="3240"/>
        </w:tabs>
        <w:spacing w:line="56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2.预计的经营业绩：同向下降</w:t>
      </w:r>
    </w:p>
    <w:tbl>
      <w:tblPr>
        <w:tblStyle w:val="5"/>
        <w:tblW w:w="9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00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518" w:type="dxa"/>
            <w:tcBorders>
              <w:top w:val="single" w:color="auto" w:sz="4" w:space="0"/>
              <w:left w:val="single" w:color="auto" w:sz="4" w:space="0"/>
              <w:bottom w:val="single" w:color="auto" w:sz="4" w:space="0"/>
              <w:right w:val="single" w:color="auto" w:sz="4" w:space="0"/>
            </w:tcBorders>
            <w:vAlign w:val="center"/>
          </w:tcPr>
          <w:p>
            <w:pPr>
              <w:tabs>
                <w:tab w:val="left" w:pos="3240"/>
              </w:tabs>
              <w:spacing w:line="560" w:lineRule="exact"/>
              <w:ind w:firstLine="560" w:firstLineChars="200"/>
              <w:jc w:val="center"/>
              <w:rPr>
                <w:rFonts w:ascii="华文仿宋" w:hAnsi="华文仿宋" w:eastAsia="华文仿宋"/>
                <w:sz w:val="28"/>
                <w:szCs w:val="28"/>
              </w:rPr>
            </w:pPr>
            <w:r>
              <w:rPr>
                <w:rFonts w:hint="eastAsia" w:ascii="华文仿宋" w:hAnsi="华文仿宋" w:eastAsia="华文仿宋"/>
                <w:sz w:val="28"/>
                <w:szCs w:val="28"/>
              </w:rPr>
              <w:t>项</w:t>
            </w:r>
            <w:r>
              <w:rPr>
                <w:rFonts w:ascii="华文仿宋" w:hAnsi="华文仿宋" w:eastAsia="华文仿宋"/>
                <w:sz w:val="28"/>
                <w:szCs w:val="28"/>
              </w:rPr>
              <w:t xml:space="preserve">  </w:t>
            </w:r>
            <w:r>
              <w:rPr>
                <w:rFonts w:hint="eastAsia" w:ascii="华文仿宋" w:hAnsi="华文仿宋" w:eastAsia="华文仿宋"/>
                <w:sz w:val="28"/>
                <w:szCs w:val="28"/>
              </w:rPr>
              <w:t>目</w:t>
            </w:r>
          </w:p>
        </w:tc>
        <w:tc>
          <w:tcPr>
            <w:tcW w:w="4004" w:type="dxa"/>
            <w:tcBorders>
              <w:top w:val="single" w:color="auto" w:sz="4" w:space="0"/>
              <w:left w:val="single" w:color="auto" w:sz="4" w:space="0"/>
              <w:bottom w:val="single" w:color="auto" w:sz="4" w:space="0"/>
              <w:right w:val="single" w:color="auto" w:sz="4" w:space="0"/>
            </w:tcBorders>
            <w:vAlign w:val="center"/>
          </w:tcPr>
          <w:p>
            <w:pPr>
              <w:tabs>
                <w:tab w:val="left" w:pos="3240"/>
              </w:tabs>
              <w:spacing w:line="560" w:lineRule="exact"/>
              <w:ind w:firstLine="560" w:firstLineChars="200"/>
              <w:jc w:val="center"/>
              <w:rPr>
                <w:rFonts w:ascii="华文仿宋" w:hAnsi="华文仿宋" w:eastAsia="华文仿宋"/>
                <w:sz w:val="28"/>
                <w:szCs w:val="28"/>
              </w:rPr>
            </w:pPr>
            <w:r>
              <w:rPr>
                <w:rFonts w:hint="eastAsia" w:ascii="华文仿宋" w:hAnsi="华文仿宋" w:eastAsia="华文仿宋"/>
                <w:sz w:val="28"/>
                <w:szCs w:val="28"/>
              </w:rPr>
              <w:t>本报告期</w:t>
            </w:r>
          </w:p>
        </w:tc>
        <w:tc>
          <w:tcPr>
            <w:tcW w:w="2835" w:type="dxa"/>
            <w:tcBorders>
              <w:top w:val="single" w:color="auto" w:sz="4" w:space="0"/>
              <w:left w:val="single" w:color="auto" w:sz="4" w:space="0"/>
              <w:bottom w:val="single" w:color="auto" w:sz="4" w:space="0"/>
              <w:right w:val="single" w:color="auto" w:sz="4" w:space="0"/>
            </w:tcBorders>
            <w:vAlign w:val="center"/>
          </w:tcPr>
          <w:p>
            <w:pPr>
              <w:tabs>
                <w:tab w:val="left" w:pos="3240"/>
              </w:tabs>
              <w:spacing w:line="560" w:lineRule="exact"/>
              <w:ind w:firstLine="560" w:firstLineChars="200"/>
              <w:jc w:val="center"/>
              <w:rPr>
                <w:rFonts w:ascii="华文仿宋" w:hAnsi="华文仿宋" w:eastAsia="华文仿宋"/>
                <w:sz w:val="28"/>
                <w:szCs w:val="28"/>
              </w:rPr>
            </w:pPr>
            <w:r>
              <w:rPr>
                <w:rFonts w:hint="eastAsia" w:ascii="华文仿宋" w:hAnsi="华文仿宋" w:eastAsia="华文仿宋"/>
                <w:sz w:val="28"/>
                <w:szCs w:val="28"/>
              </w:rPr>
              <w:t>上年同期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518" w:type="dxa"/>
            <w:vMerge w:val="restart"/>
            <w:tcBorders>
              <w:top w:val="single" w:color="auto" w:sz="4" w:space="0"/>
              <w:left w:val="single" w:color="auto" w:sz="4" w:space="0"/>
              <w:right w:val="single" w:color="auto" w:sz="4" w:space="0"/>
            </w:tcBorders>
            <w:vAlign w:val="center"/>
          </w:tcPr>
          <w:p>
            <w:pPr>
              <w:tabs>
                <w:tab w:val="left" w:pos="3240"/>
              </w:tabs>
              <w:spacing w:line="560" w:lineRule="exact"/>
              <w:rPr>
                <w:rFonts w:ascii="华文仿宋" w:hAnsi="华文仿宋" w:eastAsia="华文仿宋"/>
                <w:sz w:val="28"/>
                <w:szCs w:val="28"/>
              </w:rPr>
            </w:pPr>
            <w:r>
              <w:rPr>
                <w:rFonts w:hint="eastAsia" w:ascii="华文仿宋" w:hAnsi="华文仿宋" w:eastAsia="华文仿宋"/>
                <w:sz w:val="28"/>
                <w:szCs w:val="28"/>
              </w:rPr>
              <w:t>归属于上市公司股东的净利润</w:t>
            </w:r>
          </w:p>
        </w:tc>
        <w:tc>
          <w:tcPr>
            <w:tcW w:w="4004" w:type="dxa"/>
            <w:tcBorders>
              <w:top w:val="single" w:color="auto" w:sz="4" w:space="0"/>
              <w:left w:val="single" w:color="auto" w:sz="4" w:space="0"/>
              <w:bottom w:val="single" w:color="auto" w:sz="4" w:space="0"/>
              <w:right w:val="single" w:color="auto" w:sz="4" w:space="0"/>
            </w:tcBorders>
            <w:vAlign w:val="center"/>
          </w:tcPr>
          <w:p>
            <w:pPr>
              <w:tabs>
                <w:tab w:val="left" w:pos="3240"/>
              </w:tabs>
              <w:spacing w:line="560" w:lineRule="exact"/>
              <w:rPr>
                <w:rFonts w:ascii="华文仿宋" w:hAnsi="华文仿宋" w:eastAsia="华文仿宋"/>
                <w:sz w:val="28"/>
                <w:szCs w:val="28"/>
              </w:rPr>
            </w:pPr>
            <w:r>
              <w:rPr>
                <w:rFonts w:hint="eastAsia" w:ascii="华文仿宋" w:hAnsi="华文仿宋" w:eastAsia="华文仿宋"/>
                <w:sz w:val="28"/>
                <w:szCs w:val="28"/>
              </w:rPr>
              <w:t>盈利：12,500万元～17,900万元</w:t>
            </w:r>
          </w:p>
        </w:tc>
        <w:tc>
          <w:tcPr>
            <w:tcW w:w="2835" w:type="dxa"/>
            <w:tcBorders>
              <w:top w:val="single" w:color="auto" w:sz="4" w:space="0"/>
              <w:left w:val="single" w:color="auto" w:sz="4" w:space="0"/>
              <w:bottom w:val="single" w:color="auto" w:sz="4" w:space="0"/>
              <w:right w:val="single" w:color="auto" w:sz="4" w:space="0"/>
            </w:tcBorders>
            <w:vAlign w:val="center"/>
          </w:tcPr>
          <w:p>
            <w:pPr>
              <w:tabs>
                <w:tab w:val="left" w:pos="3240"/>
              </w:tabs>
              <w:spacing w:line="560" w:lineRule="exact"/>
              <w:rPr>
                <w:rFonts w:ascii="华文仿宋" w:hAnsi="华文仿宋" w:eastAsia="华文仿宋"/>
                <w:sz w:val="28"/>
                <w:szCs w:val="28"/>
              </w:rPr>
            </w:pPr>
            <w:r>
              <w:rPr>
                <w:rFonts w:hint="eastAsia" w:ascii="华文仿宋" w:hAnsi="华文仿宋" w:eastAsia="华文仿宋"/>
                <w:sz w:val="28"/>
                <w:szCs w:val="28"/>
              </w:rPr>
              <w:t>盈利：</w:t>
            </w:r>
            <w:r>
              <w:rPr>
                <w:rFonts w:ascii="华文仿宋" w:hAnsi="华文仿宋" w:eastAsia="华文仿宋"/>
                <w:sz w:val="28"/>
                <w:szCs w:val="28"/>
              </w:rPr>
              <w:t>77,993.80</w:t>
            </w:r>
            <w:r>
              <w:rPr>
                <w:rFonts w:hint="eastAsia" w:ascii="华文仿宋" w:hAnsi="华文仿宋" w:eastAsia="华文仿宋"/>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518" w:type="dxa"/>
            <w:vMerge w:val="continue"/>
            <w:tcBorders>
              <w:left w:val="single" w:color="auto" w:sz="4" w:space="0"/>
              <w:bottom w:val="single" w:color="auto" w:sz="4" w:space="0"/>
              <w:right w:val="single" w:color="auto" w:sz="4" w:space="0"/>
            </w:tcBorders>
            <w:vAlign w:val="center"/>
          </w:tcPr>
          <w:p>
            <w:pPr>
              <w:tabs>
                <w:tab w:val="left" w:pos="3240"/>
              </w:tabs>
              <w:spacing w:line="560" w:lineRule="exact"/>
              <w:ind w:firstLine="560" w:firstLineChars="200"/>
              <w:rPr>
                <w:rFonts w:ascii="华文仿宋" w:hAnsi="华文仿宋" w:eastAsia="华文仿宋"/>
                <w:sz w:val="28"/>
                <w:szCs w:val="28"/>
              </w:rPr>
            </w:pPr>
          </w:p>
        </w:tc>
        <w:tc>
          <w:tcPr>
            <w:tcW w:w="4004" w:type="dxa"/>
            <w:tcBorders>
              <w:top w:val="single" w:color="auto" w:sz="4" w:space="0"/>
              <w:left w:val="single" w:color="auto" w:sz="4" w:space="0"/>
              <w:bottom w:val="single" w:color="auto" w:sz="4" w:space="0"/>
              <w:right w:val="single" w:color="auto" w:sz="4" w:space="0"/>
            </w:tcBorders>
            <w:vAlign w:val="center"/>
          </w:tcPr>
          <w:p>
            <w:pPr>
              <w:tabs>
                <w:tab w:val="left" w:pos="3240"/>
              </w:tabs>
              <w:spacing w:line="560" w:lineRule="exact"/>
              <w:rPr>
                <w:rFonts w:ascii="华文仿宋" w:hAnsi="华文仿宋" w:eastAsia="华文仿宋"/>
                <w:sz w:val="28"/>
                <w:szCs w:val="28"/>
              </w:rPr>
            </w:pPr>
            <w:r>
              <w:rPr>
                <w:rFonts w:hint="eastAsia" w:ascii="华文仿宋" w:hAnsi="华文仿宋" w:eastAsia="华文仿宋"/>
                <w:sz w:val="28"/>
                <w:szCs w:val="28"/>
              </w:rPr>
              <w:t>比上年同期下降：77% ～84%</w:t>
            </w:r>
          </w:p>
        </w:tc>
        <w:tc>
          <w:tcPr>
            <w:tcW w:w="2835" w:type="dxa"/>
            <w:tcBorders>
              <w:top w:val="single" w:color="auto" w:sz="4" w:space="0"/>
              <w:left w:val="single" w:color="auto" w:sz="4" w:space="0"/>
              <w:bottom w:val="single" w:color="auto" w:sz="4" w:space="0"/>
              <w:right w:val="single" w:color="auto" w:sz="4" w:space="0"/>
            </w:tcBorders>
            <w:vAlign w:val="center"/>
          </w:tcPr>
          <w:p>
            <w:pPr>
              <w:tabs>
                <w:tab w:val="left" w:pos="3240"/>
              </w:tabs>
              <w:spacing w:line="560" w:lineRule="exact"/>
              <w:ind w:firstLine="560" w:firstLineChars="200"/>
              <w:rPr>
                <w:rFonts w:ascii="华文仿宋" w:hAnsi="华文仿宋"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518" w:type="dxa"/>
            <w:vMerge w:val="restart"/>
            <w:tcBorders>
              <w:left w:val="single" w:color="auto" w:sz="4" w:space="0"/>
              <w:right w:val="single" w:color="auto" w:sz="4" w:space="0"/>
            </w:tcBorders>
            <w:vAlign w:val="center"/>
          </w:tcPr>
          <w:p>
            <w:pPr>
              <w:tabs>
                <w:tab w:val="left" w:pos="3240"/>
              </w:tabs>
              <w:spacing w:line="560" w:lineRule="exact"/>
              <w:rPr>
                <w:rFonts w:ascii="华文仿宋" w:hAnsi="华文仿宋" w:eastAsia="华文仿宋"/>
                <w:sz w:val="28"/>
                <w:szCs w:val="28"/>
              </w:rPr>
            </w:pPr>
            <w:r>
              <w:rPr>
                <w:rFonts w:hint="eastAsia" w:ascii="华文仿宋" w:hAnsi="华文仿宋" w:eastAsia="华文仿宋"/>
                <w:sz w:val="28"/>
                <w:szCs w:val="28"/>
              </w:rPr>
              <w:t>归属于上市公司股东的扣除非经常性损益的净利润</w:t>
            </w:r>
          </w:p>
        </w:tc>
        <w:tc>
          <w:tcPr>
            <w:tcW w:w="4004" w:type="dxa"/>
            <w:tcBorders>
              <w:top w:val="single" w:color="auto" w:sz="4" w:space="0"/>
              <w:left w:val="single" w:color="auto" w:sz="4" w:space="0"/>
              <w:bottom w:val="single" w:color="auto" w:sz="4" w:space="0"/>
              <w:right w:val="single" w:color="auto" w:sz="4" w:space="0"/>
            </w:tcBorders>
            <w:vAlign w:val="center"/>
          </w:tcPr>
          <w:p>
            <w:pPr>
              <w:tabs>
                <w:tab w:val="left" w:pos="3240"/>
              </w:tabs>
              <w:spacing w:line="560" w:lineRule="exact"/>
              <w:rPr>
                <w:rFonts w:ascii="华文仿宋" w:hAnsi="华文仿宋" w:eastAsia="华文仿宋"/>
                <w:sz w:val="28"/>
                <w:szCs w:val="28"/>
              </w:rPr>
            </w:pPr>
            <w:r>
              <w:rPr>
                <w:rFonts w:hint="eastAsia" w:ascii="华文仿宋" w:hAnsi="华文仿宋" w:eastAsia="华文仿宋"/>
                <w:sz w:val="28"/>
                <w:szCs w:val="28"/>
              </w:rPr>
              <w:t>盈利：</w:t>
            </w:r>
            <w:r>
              <w:rPr>
                <w:rFonts w:ascii="华文仿宋" w:hAnsi="华文仿宋" w:eastAsia="华文仿宋"/>
                <w:sz w:val="28"/>
                <w:szCs w:val="28"/>
              </w:rPr>
              <w:t>6,900</w:t>
            </w:r>
            <w:r>
              <w:rPr>
                <w:rFonts w:hint="eastAsia" w:ascii="华文仿宋" w:hAnsi="华文仿宋" w:eastAsia="华文仿宋"/>
                <w:sz w:val="28"/>
                <w:szCs w:val="28"/>
              </w:rPr>
              <w:t>万元～12,300万元</w:t>
            </w:r>
          </w:p>
        </w:tc>
        <w:tc>
          <w:tcPr>
            <w:tcW w:w="2835" w:type="dxa"/>
            <w:tcBorders>
              <w:top w:val="single" w:color="auto" w:sz="4" w:space="0"/>
              <w:left w:val="single" w:color="auto" w:sz="4" w:space="0"/>
              <w:bottom w:val="single" w:color="auto" w:sz="4" w:space="0"/>
              <w:right w:val="single" w:color="auto" w:sz="4" w:space="0"/>
            </w:tcBorders>
            <w:vAlign w:val="center"/>
          </w:tcPr>
          <w:p>
            <w:pPr>
              <w:tabs>
                <w:tab w:val="left" w:pos="3240"/>
              </w:tabs>
              <w:spacing w:line="560" w:lineRule="exact"/>
              <w:rPr>
                <w:rFonts w:ascii="华文仿宋" w:hAnsi="华文仿宋" w:eastAsia="华文仿宋"/>
                <w:sz w:val="28"/>
                <w:szCs w:val="28"/>
              </w:rPr>
            </w:pPr>
            <w:r>
              <w:rPr>
                <w:rFonts w:hint="eastAsia" w:ascii="华文仿宋" w:hAnsi="华文仿宋" w:eastAsia="华文仿宋"/>
                <w:sz w:val="28"/>
                <w:szCs w:val="28"/>
              </w:rPr>
              <w:t>盈利：41,408.61万元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518" w:type="dxa"/>
            <w:vMerge w:val="continue"/>
            <w:tcBorders>
              <w:left w:val="single" w:color="auto" w:sz="4" w:space="0"/>
              <w:bottom w:val="single" w:color="auto" w:sz="4" w:space="0"/>
              <w:right w:val="single" w:color="auto" w:sz="4" w:space="0"/>
            </w:tcBorders>
            <w:vAlign w:val="center"/>
          </w:tcPr>
          <w:p>
            <w:pPr>
              <w:tabs>
                <w:tab w:val="left" w:pos="3240"/>
              </w:tabs>
              <w:spacing w:line="560" w:lineRule="exact"/>
              <w:ind w:firstLine="560" w:firstLineChars="200"/>
              <w:rPr>
                <w:rFonts w:ascii="华文仿宋" w:hAnsi="华文仿宋" w:eastAsia="华文仿宋"/>
                <w:sz w:val="28"/>
                <w:szCs w:val="28"/>
              </w:rPr>
            </w:pPr>
          </w:p>
        </w:tc>
        <w:tc>
          <w:tcPr>
            <w:tcW w:w="4004" w:type="dxa"/>
            <w:tcBorders>
              <w:top w:val="single" w:color="auto" w:sz="4" w:space="0"/>
              <w:left w:val="single" w:color="auto" w:sz="4" w:space="0"/>
              <w:bottom w:val="single" w:color="auto" w:sz="4" w:space="0"/>
              <w:right w:val="single" w:color="auto" w:sz="4" w:space="0"/>
            </w:tcBorders>
            <w:vAlign w:val="center"/>
          </w:tcPr>
          <w:p>
            <w:pPr>
              <w:tabs>
                <w:tab w:val="left" w:pos="3240"/>
              </w:tabs>
              <w:spacing w:line="560" w:lineRule="exact"/>
              <w:rPr>
                <w:rFonts w:ascii="华文仿宋" w:hAnsi="华文仿宋" w:eastAsia="华文仿宋"/>
                <w:sz w:val="28"/>
                <w:szCs w:val="28"/>
              </w:rPr>
            </w:pPr>
            <w:r>
              <w:rPr>
                <w:rFonts w:hint="eastAsia" w:ascii="华文仿宋" w:hAnsi="华文仿宋" w:eastAsia="华文仿宋"/>
                <w:sz w:val="28"/>
                <w:szCs w:val="28"/>
              </w:rPr>
              <w:t>比上年同期下降：70% ～83%</w:t>
            </w:r>
          </w:p>
        </w:tc>
        <w:tc>
          <w:tcPr>
            <w:tcW w:w="2835" w:type="dxa"/>
            <w:tcBorders>
              <w:top w:val="single" w:color="auto" w:sz="4" w:space="0"/>
              <w:left w:val="single" w:color="auto" w:sz="4" w:space="0"/>
              <w:bottom w:val="single" w:color="auto" w:sz="4" w:space="0"/>
              <w:right w:val="single" w:color="auto" w:sz="4" w:space="0"/>
            </w:tcBorders>
            <w:vAlign w:val="center"/>
          </w:tcPr>
          <w:p>
            <w:pPr>
              <w:tabs>
                <w:tab w:val="left" w:pos="3240"/>
              </w:tabs>
              <w:spacing w:line="560" w:lineRule="exact"/>
              <w:ind w:firstLine="560" w:firstLineChars="200"/>
              <w:rPr>
                <w:rFonts w:ascii="华文仿宋" w:hAnsi="华文仿宋"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518" w:type="dxa"/>
            <w:tcBorders>
              <w:top w:val="single" w:color="auto" w:sz="4" w:space="0"/>
              <w:left w:val="single" w:color="auto" w:sz="4" w:space="0"/>
              <w:bottom w:val="single" w:color="auto" w:sz="4" w:space="0"/>
              <w:right w:val="single" w:color="auto" w:sz="4" w:space="0"/>
            </w:tcBorders>
            <w:vAlign w:val="center"/>
          </w:tcPr>
          <w:p>
            <w:pPr>
              <w:tabs>
                <w:tab w:val="left" w:pos="3240"/>
              </w:tabs>
              <w:spacing w:line="560" w:lineRule="exact"/>
              <w:rPr>
                <w:rFonts w:ascii="华文仿宋" w:hAnsi="华文仿宋" w:eastAsia="华文仿宋"/>
                <w:sz w:val="28"/>
                <w:szCs w:val="28"/>
              </w:rPr>
            </w:pPr>
            <w:r>
              <w:rPr>
                <w:rFonts w:hint="eastAsia" w:ascii="华文仿宋" w:hAnsi="华文仿宋" w:eastAsia="华文仿宋"/>
                <w:sz w:val="28"/>
                <w:szCs w:val="28"/>
              </w:rPr>
              <w:t>基本每股收益</w:t>
            </w:r>
          </w:p>
        </w:tc>
        <w:tc>
          <w:tcPr>
            <w:tcW w:w="4004" w:type="dxa"/>
            <w:tcBorders>
              <w:top w:val="single" w:color="auto" w:sz="4" w:space="0"/>
              <w:left w:val="single" w:color="auto" w:sz="4" w:space="0"/>
              <w:bottom w:val="single" w:color="auto" w:sz="4" w:space="0"/>
              <w:right w:val="single" w:color="auto" w:sz="4" w:space="0"/>
            </w:tcBorders>
            <w:vAlign w:val="center"/>
          </w:tcPr>
          <w:p>
            <w:pPr>
              <w:tabs>
                <w:tab w:val="left" w:pos="3240"/>
              </w:tabs>
              <w:spacing w:line="560" w:lineRule="exact"/>
              <w:rPr>
                <w:rFonts w:ascii="华文仿宋" w:hAnsi="华文仿宋" w:eastAsia="华文仿宋"/>
                <w:sz w:val="28"/>
                <w:szCs w:val="28"/>
              </w:rPr>
            </w:pPr>
            <w:r>
              <w:rPr>
                <w:rFonts w:hint="eastAsia" w:ascii="华文仿宋" w:hAnsi="华文仿宋" w:eastAsia="华文仿宋"/>
                <w:sz w:val="28"/>
                <w:szCs w:val="28"/>
              </w:rPr>
              <w:t>盈利：</w:t>
            </w:r>
            <w:r>
              <w:rPr>
                <w:rFonts w:ascii="华文仿宋" w:hAnsi="华文仿宋" w:eastAsia="华文仿宋"/>
                <w:sz w:val="28"/>
                <w:szCs w:val="28"/>
              </w:rPr>
              <w:t>0.1825</w:t>
            </w:r>
            <w:r>
              <w:rPr>
                <w:rFonts w:hint="eastAsia" w:ascii="华文仿宋" w:hAnsi="华文仿宋" w:eastAsia="华文仿宋"/>
                <w:sz w:val="28"/>
                <w:szCs w:val="28"/>
              </w:rPr>
              <w:t>元/股～</w:t>
            </w:r>
            <w:r>
              <w:rPr>
                <w:rFonts w:ascii="华文仿宋" w:hAnsi="华文仿宋" w:eastAsia="华文仿宋"/>
                <w:sz w:val="28"/>
                <w:szCs w:val="28"/>
              </w:rPr>
              <w:t>0.2613</w:t>
            </w:r>
            <w:r>
              <w:rPr>
                <w:rFonts w:hint="eastAsia" w:ascii="华文仿宋" w:hAnsi="华文仿宋" w:eastAsia="华文仿宋"/>
                <w:sz w:val="28"/>
                <w:szCs w:val="28"/>
              </w:rPr>
              <w:t>元/股</w:t>
            </w:r>
          </w:p>
        </w:tc>
        <w:tc>
          <w:tcPr>
            <w:tcW w:w="2835" w:type="dxa"/>
            <w:tcBorders>
              <w:top w:val="single" w:color="auto" w:sz="4" w:space="0"/>
              <w:left w:val="single" w:color="auto" w:sz="4" w:space="0"/>
              <w:bottom w:val="single" w:color="auto" w:sz="4" w:space="0"/>
              <w:right w:val="single" w:color="auto" w:sz="4" w:space="0"/>
            </w:tcBorders>
            <w:vAlign w:val="center"/>
          </w:tcPr>
          <w:p>
            <w:pPr>
              <w:tabs>
                <w:tab w:val="left" w:pos="3240"/>
              </w:tabs>
              <w:spacing w:line="560" w:lineRule="exact"/>
              <w:rPr>
                <w:rFonts w:ascii="华文仿宋" w:hAnsi="华文仿宋" w:eastAsia="华文仿宋"/>
                <w:sz w:val="28"/>
                <w:szCs w:val="28"/>
              </w:rPr>
            </w:pPr>
            <w:r>
              <w:rPr>
                <w:rFonts w:hint="eastAsia" w:ascii="华文仿宋" w:hAnsi="华文仿宋" w:eastAsia="华文仿宋"/>
                <w:sz w:val="28"/>
                <w:szCs w:val="28"/>
              </w:rPr>
              <w:t>盈利：</w:t>
            </w:r>
            <w:r>
              <w:rPr>
                <w:rFonts w:ascii="华文仿宋" w:hAnsi="华文仿宋" w:eastAsia="华文仿宋"/>
                <w:sz w:val="28"/>
                <w:szCs w:val="28"/>
              </w:rPr>
              <w:t>1.1385</w:t>
            </w:r>
            <w:r>
              <w:rPr>
                <w:rFonts w:hint="eastAsia" w:ascii="华文仿宋" w:hAnsi="华文仿宋" w:eastAsia="华文仿宋"/>
                <w:sz w:val="28"/>
                <w:szCs w:val="28"/>
              </w:rPr>
              <w:t>/股</w:t>
            </w:r>
          </w:p>
        </w:tc>
      </w:tr>
    </w:tbl>
    <w:p>
      <w:pPr>
        <w:tabs>
          <w:tab w:val="left" w:pos="3240"/>
        </w:tabs>
        <w:spacing w:line="560" w:lineRule="exact"/>
        <w:ind w:firstLine="562" w:firstLineChars="200"/>
        <w:rPr>
          <w:rFonts w:ascii="仿宋" w:hAnsi="仿宋" w:eastAsia="仿宋"/>
          <w:b/>
          <w:sz w:val="28"/>
          <w:szCs w:val="28"/>
        </w:rPr>
      </w:pPr>
      <w:r>
        <w:rPr>
          <w:rFonts w:hint="eastAsia" w:ascii="仿宋" w:hAnsi="仿宋" w:eastAsia="仿宋"/>
          <w:b/>
          <w:sz w:val="28"/>
          <w:szCs w:val="28"/>
        </w:rPr>
        <w:t>二、与会计师事务所沟通情况</w:t>
      </w:r>
    </w:p>
    <w:p>
      <w:pPr>
        <w:tabs>
          <w:tab w:val="left" w:pos="3240"/>
        </w:tabs>
        <w:spacing w:line="560" w:lineRule="exact"/>
        <w:ind w:firstLine="560" w:firstLineChars="200"/>
        <w:rPr>
          <w:rFonts w:ascii="华文仿宋" w:hAnsi="华文仿宋" w:eastAsia="华文仿宋"/>
          <w:b/>
          <w:sz w:val="30"/>
          <w:szCs w:val="30"/>
        </w:rPr>
      </w:pPr>
      <w:r>
        <w:rPr>
          <w:rFonts w:ascii="仿宋" w:hAnsi="仿宋" w:eastAsia="仿宋"/>
          <w:sz w:val="28"/>
          <w:szCs w:val="28"/>
        </w:rPr>
        <w:t>本次业绩预告相关财务数据未经注册会计师审计，但公司已就业绩预告有关事项与年报审计会计师事务所进行了预沟通，公司与会计师事务所在本报告期的业绩预告方面不存在分歧。</w:t>
      </w:r>
    </w:p>
    <w:p>
      <w:pPr>
        <w:tabs>
          <w:tab w:val="left" w:pos="3240"/>
        </w:tabs>
        <w:spacing w:line="560" w:lineRule="exact"/>
        <w:ind w:firstLine="601" w:firstLineChars="200"/>
        <w:rPr>
          <w:rFonts w:ascii="华文仿宋" w:hAnsi="华文仿宋" w:eastAsia="华文仿宋"/>
          <w:b/>
          <w:sz w:val="30"/>
          <w:szCs w:val="30"/>
        </w:rPr>
      </w:pPr>
      <w:r>
        <w:rPr>
          <w:rFonts w:hint="eastAsia" w:ascii="华文仿宋" w:hAnsi="华文仿宋" w:eastAsia="华文仿宋"/>
          <w:b/>
          <w:sz w:val="30"/>
          <w:szCs w:val="30"/>
        </w:rPr>
        <w:t>三、业绩变动原因说明</w:t>
      </w:r>
    </w:p>
    <w:p>
      <w:pPr>
        <w:tabs>
          <w:tab w:val="left" w:pos="3240"/>
        </w:tabs>
        <w:spacing w:line="56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1、本报告期参股公司越秀金控经营业绩同比下降，公司按权益法确认的投资收益同比减少（其中上年同期越秀金控完成向中信证券出售广州证券100%股权项目确认一次性投资净损益，公司按相应持股比例确认一次性非经常性损益34,418万元）。</w:t>
      </w:r>
    </w:p>
    <w:p>
      <w:pPr>
        <w:tabs>
          <w:tab w:val="left" w:pos="3240"/>
        </w:tabs>
        <w:spacing w:line="560" w:lineRule="exact"/>
        <w:ind w:firstLine="560" w:firstLineChars="200"/>
        <w:rPr>
          <w:rFonts w:ascii="华文仿宋" w:hAnsi="华文仿宋" w:eastAsia="华文仿宋"/>
          <w:sz w:val="28"/>
          <w:szCs w:val="28"/>
        </w:rPr>
      </w:pPr>
      <w:r>
        <w:rPr>
          <w:rFonts w:hint="eastAsia" w:ascii="华文仿宋" w:hAnsi="华文仿宋" w:eastAsia="华文仿宋"/>
          <w:sz w:val="28"/>
          <w:szCs w:val="28"/>
        </w:rPr>
        <w:t>2、扣除非经常性损益后，公司2021年度归母净利润比上年同期下降，主要原因为本报告期燃煤价格暴涨导致燃煤成本大幅增加，电力业务出现亏损，控股子公司恒建投公司房地产业务利润同比减少。</w:t>
      </w:r>
    </w:p>
    <w:p>
      <w:pPr>
        <w:tabs>
          <w:tab w:val="left" w:pos="3240"/>
        </w:tabs>
        <w:spacing w:line="560" w:lineRule="exact"/>
        <w:ind w:firstLine="601" w:firstLineChars="200"/>
        <w:rPr>
          <w:rFonts w:ascii="华文仿宋" w:hAnsi="华文仿宋" w:eastAsia="华文仿宋"/>
          <w:b/>
          <w:sz w:val="30"/>
          <w:szCs w:val="30"/>
        </w:rPr>
      </w:pPr>
      <w:r>
        <w:rPr>
          <w:rFonts w:hint="eastAsia" w:ascii="华文仿宋" w:hAnsi="华文仿宋" w:eastAsia="华文仿宋"/>
          <w:b/>
          <w:sz w:val="30"/>
          <w:szCs w:val="30"/>
        </w:rPr>
        <w:t>四、风险提示</w:t>
      </w:r>
    </w:p>
    <w:p>
      <w:pPr>
        <w:tabs>
          <w:tab w:val="left" w:pos="3240"/>
        </w:tabs>
        <w:spacing w:line="560" w:lineRule="exact"/>
        <w:ind w:firstLine="560" w:firstLineChars="200"/>
        <w:rPr>
          <w:rFonts w:ascii="华文仿宋" w:hAnsi="华文仿宋" w:eastAsia="华文仿宋"/>
          <w:sz w:val="28"/>
          <w:szCs w:val="28"/>
        </w:rPr>
      </w:pPr>
      <w:r>
        <w:rPr>
          <w:rFonts w:hint="eastAsia" w:ascii="仿宋" w:hAnsi="仿宋" w:eastAsia="仿宋"/>
          <w:sz w:val="28"/>
          <w:szCs w:val="28"/>
        </w:rPr>
        <w:t>2021年度财务数据的具体情况将在2021年度报告中详细披露。本次业绩预告仅为初步估算，尚存在不确定性，敬请广大投资者注意投资风险。</w:t>
      </w:r>
    </w:p>
    <w:p>
      <w:pPr>
        <w:tabs>
          <w:tab w:val="left" w:pos="3240"/>
        </w:tabs>
        <w:spacing w:line="560" w:lineRule="exact"/>
        <w:ind w:firstLine="560" w:firstLineChars="200"/>
        <w:rPr>
          <w:rFonts w:ascii="华文仿宋" w:hAnsi="华文仿宋" w:eastAsia="华文仿宋"/>
          <w:sz w:val="28"/>
          <w:szCs w:val="28"/>
        </w:rPr>
      </w:pPr>
    </w:p>
    <w:p>
      <w:pPr>
        <w:tabs>
          <w:tab w:val="left" w:pos="3240"/>
        </w:tabs>
        <w:spacing w:line="560" w:lineRule="exact"/>
        <w:ind w:firstLine="560" w:firstLineChars="200"/>
        <w:rPr>
          <w:rFonts w:ascii="华文仿宋" w:hAnsi="华文仿宋" w:eastAsia="华文仿宋"/>
          <w:sz w:val="28"/>
          <w:szCs w:val="28"/>
        </w:rPr>
      </w:pPr>
    </w:p>
    <w:p>
      <w:pPr>
        <w:spacing w:line="560" w:lineRule="exact"/>
        <w:jc w:val="right"/>
        <w:rPr>
          <w:rFonts w:ascii="华文仿宋" w:hAnsi="华文仿宋" w:eastAsia="华文仿宋"/>
          <w:sz w:val="28"/>
          <w:szCs w:val="28"/>
        </w:rPr>
      </w:pPr>
      <w:r>
        <w:rPr>
          <w:rFonts w:hint="eastAsia" w:ascii="华文仿宋" w:hAnsi="华文仿宋" w:eastAsia="华文仿宋"/>
          <w:sz w:val="28"/>
          <w:szCs w:val="28"/>
        </w:rPr>
        <w:t>广州恒运企业集团股份有限公司董事会</w:t>
      </w:r>
    </w:p>
    <w:p>
      <w:pPr>
        <w:spacing w:line="560" w:lineRule="exact"/>
        <w:ind w:right="680" w:firstLine="560" w:firstLineChars="200"/>
        <w:jc w:val="right"/>
        <w:rPr>
          <w:rFonts w:ascii="华文仿宋" w:hAnsi="华文仿宋" w:eastAsia="华文仿宋"/>
          <w:sz w:val="28"/>
          <w:szCs w:val="28"/>
        </w:rPr>
      </w:pPr>
      <w:r>
        <w:rPr>
          <w:rFonts w:hint="eastAsia" w:ascii="华文仿宋" w:hAnsi="华文仿宋" w:eastAsia="华文仿宋"/>
          <w:sz w:val="28"/>
          <w:szCs w:val="28"/>
        </w:rPr>
        <w:t>2022年1月21日</w:t>
      </w:r>
    </w:p>
    <w:p>
      <w:pPr>
        <w:rPr>
          <w:rFonts w:ascii="华文仿宋" w:hAnsi="华文仿宋" w:eastAsia="华文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1CECFB-15E9-4425-BBFF-0B1DA3EC45B6}">
  <ds:schemaRefs/>
</ds:datastoreItem>
</file>